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10F" w:rsidRPr="00096E7C" w:rsidRDefault="00AB1607" w:rsidP="00650046">
      <w:pPr>
        <w:jc w:val="center"/>
        <w:rPr>
          <w:rFonts w:asciiTheme="majorHAnsi" w:hAnsiTheme="majorHAnsi" w:cs="Arial"/>
          <w:lang w:val="sr-Cyrl-CS"/>
        </w:rPr>
      </w:pPr>
      <w:r w:rsidRPr="00096E7C">
        <w:rPr>
          <w:rFonts w:asciiTheme="majorHAnsi" w:hAnsiTheme="majorHAnsi" w:cs="Arial"/>
          <w:noProof/>
          <w:lang w:val="sr-Latn-BA" w:eastAsia="sr-Latn-BA"/>
        </w:rPr>
        <w:drawing>
          <wp:inline distT="0" distB="0" distL="0" distR="0" wp14:anchorId="34CECD60" wp14:editId="7CA9BA35">
            <wp:extent cx="1209675" cy="1209675"/>
            <wp:effectExtent l="0" t="0" r="9525" b="9525"/>
            <wp:docPr id="1" name="Picture 1" descr="amblemv 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mblemv 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10F" w:rsidRPr="00096E7C" w:rsidRDefault="0016610F" w:rsidP="00650046">
      <w:pPr>
        <w:pStyle w:val="Heading3"/>
        <w:spacing w:before="120"/>
        <w:jc w:val="center"/>
        <w:rPr>
          <w:rFonts w:asciiTheme="majorHAnsi" w:hAnsiTheme="majorHAnsi"/>
          <w:sz w:val="28"/>
          <w:szCs w:val="24"/>
          <w:lang w:val="sr-Cyrl-CS"/>
        </w:rPr>
      </w:pPr>
    </w:p>
    <w:p w:rsidR="0016610F" w:rsidRPr="00096E7C" w:rsidRDefault="00D502F7" w:rsidP="00650046">
      <w:pPr>
        <w:jc w:val="center"/>
        <w:rPr>
          <w:rFonts w:asciiTheme="majorHAnsi" w:hAnsiTheme="majorHAnsi" w:cs="Arial"/>
          <w:b/>
          <w:sz w:val="28"/>
          <w:lang w:val="sr-Cyrl-CS"/>
        </w:rPr>
      </w:pPr>
      <w:r>
        <w:rPr>
          <w:rFonts w:asciiTheme="majorHAnsi" w:hAnsiTheme="majorHAnsi" w:cs="Arial"/>
          <w:b/>
          <w:sz w:val="28"/>
          <w:lang w:val="sr-Cyrl-CS"/>
        </w:rPr>
        <w:t>REGULATORNA</w:t>
      </w:r>
      <w:r w:rsidR="0016610F" w:rsidRPr="00096E7C">
        <w:rPr>
          <w:rFonts w:asciiTheme="majorHAnsi" w:hAnsiTheme="majorHAnsi" w:cs="Arial"/>
          <w:b/>
          <w:sz w:val="28"/>
          <w:lang w:val="sr-Cyrl-CS"/>
        </w:rPr>
        <w:t xml:space="preserve"> </w:t>
      </w:r>
      <w:r>
        <w:rPr>
          <w:rFonts w:asciiTheme="majorHAnsi" w:hAnsiTheme="majorHAnsi" w:cs="Arial"/>
          <w:b/>
          <w:sz w:val="28"/>
          <w:lang w:val="sr-Cyrl-CS"/>
        </w:rPr>
        <w:t>KOMISIJA</w:t>
      </w:r>
    </w:p>
    <w:p w:rsidR="0016610F" w:rsidRPr="00096E7C" w:rsidRDefault="00D502F7" w:rsidP="00650046">
      <w:pPr>
        <w:jc w:val="center"/>
        <w:rPr>
          <w:rFonts w:asciiTheme="majorHAnsi" w:hAnsiTheme="majorHAnsi" w:cs="Arial"/>
          <w:b/>
          <w:sz w:val="28"/>
          <w:lang w:val="sr-Cyrl-CS"/>
        </w:rPr>
      </w:pPr>
      <w:r>
        <w:rPr>
          <w:rFonts w:asciiTheme="majorHAnsi" w:hAnsiTheme="majorHAnsi" w:cs="Arial"/>
          <w:b/>
          <w:sz w:val="28"/>
          <w:lang w:val="sr-Cyrl-CS"/>
        </w:rPr>
        <w:t>ZA</w:t>
      </w:r>
      <w:r w:rsidR="0016610F" w:rsidRPr="00096E7C">
        <w:rPr>
          <w:rFonts w:asciiTheme="majorHAnsi" w:hAnsiTheme="majorHAnsi" w:cs="Arial"/>
          <w:b/>
          <w:sz w:val="28"/>
          <w:lang w:val="sr-Cyrl-CS"/>
        </w:rPr>
        <w:t xml:space="preserve"> </w:t>
      </w:r>
      <w:r>
        <w:rPr>
          <w:rFonts w:asciiTheme="majorHAnsi" w:hAnsiTheme="majorHAnsi" w:cs="Arial"/>
          <w:b/>
          <w:sz w:val="28"/>
          <w:lang w:val="sr-Cyrl-CS"/>
        </w:rPr>
        <w:t>ENERGETIKU</w:t>
      </w:r>
      <w:r w:rsidR="0016610F" w:rsidRPr="00096E7C">
        <w:rPr>
          <w:rFonts w:asciiTheme="majorHAnsi" w:hAnsiTheme="majorHAnsi" w:cs="Arial"/>
          <w:b/>
          <w:sz w:val="28"/>
          <w:lang w:val="sr-Cyrl-CS"/>
        </w:rPr>
        <w:t xml:space="preserve"> </w:t>
      </w:r>
      <w:r>
        <w:rPr>
          <w:rFonts w:asciiTheme="majorHAnsi" w:hAnsiTheme="majorHAnsi" w:cs="Arial"/>
          <w:b/>
          <w:sz w:val="28"/>
          <w:lang w:val="sr-Cyrl-CS"/>
        </w:rPr>
        <w:t>REPUBLIKE</w:t>
      </w:r>
      <w:r w:rsidR="0016610F" w:rsidRPr="00096E7C">
        <w:rPr>
          <w:rFonts w:asciiTheme="majorHAnsi" w:hAnsiTheme="majorHAnsi" w:cs="Arial"/>
          <w:b/>
          <w:sz w:val="28"/>
          <w:lang w:val="sr-Cyrl-CS"/>
        </w:rPr>
        <w:t xml:space="preserve"> </w:t>
      </w:r>
      <w:r>
        <w:rPr>
          <w:rFonts w:asciiTheme="majorHAnsi" w:hAnsiTheme="majorHAnsi" w:cs="Arial"/>
          <w:b/>
          <w:sz w:val="28"/>
          <w:lang w:val="sr-Cyrl-CS"/>
        </w:rPr>
        <w:t>SRPSKE</w:t>
      </w: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  <w:r w:rsidRPr="00096E7C">
        <w:rPr>
          <w:rFonts w:asciiTheme="majorHAnsi" w:hAnsiTheme="majorHAnsi" w:cs="Arial"/>
          <w:lang w:val="sr-Cyrl-CS"/>
        </w:rPr>
        <w:tab/>
      </w: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BA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95133">
      <w:pPr>
        <w:jc w:val="center"/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D502F7" w:rsidP="00A17DE9">
      <w:pPr>
        <w:jc w:val="center"/>
        <w:rPr>
          <w:rFonts w:asciiTheme="majorHAnsi" w:hAnsiTheme="majorHAnsi" w:cs="Arial"/>
          <w:b/>
          <w:i/>
          <w:sz w:val="56"/>
          <w:szCs w:val="56"/>
          <w:lang w:val="ru-RU"/>
        </w:rPr>
      </w:pPr>
      <w:r>
        <w:rPr>
          <w:rFonts w:asciiTheme="majorHAnsi" w:hAnsiTheme="majorHAnsi" w:cs="Arial"/>
          <w:b/>
          <w:i/>
          <w:sz w:val="56"/>
          <w:szCs w:val="56"/>
          <w:lang w:val="sr-Cyrl-BA"/>
        </w:rPr>
        <w:t>PRIJEDLOG</w:t>
      </w:r>
      <w:r w:rsidR="000C5165" w:rsidRPr="00096E7C">
        <w:rPr>
          <w:rFonts w:asciiTheme="majorHAnsi" w:hAnsiTheme="majorHAnsi" w:cs="Arial"/>
          <w:b/>
          <w:i/>
          <w:sz w:val="56"/>
          <w:szCs w:val="56"/>
        </w:rPr>
        <w:t xml:space="preserve"> </w:t>
      </w:r>
      <w:r>
        <w:rPr>
          <w:rFonts w:asciiTheme="majorHAnsi" w:hAnsiTheme="majorHAnsi" w:cs="Arial"/>
          <w:b/>
          <w:i/>
          <w:sz w:val="56"/>
          <w:szCs w:val="56"/>
          <w:lang w:val="sr-Cyrl-CS"/>
        </w:rPr>
        <w:t>BUDžETA</w:t>
      </w:r>
    </w:p>
    <w:p w:rsidR="0016610F" w:rsidRPr="00096E7C" w:rsidRDefault="00D502F7" w:rsidP="00A17DE9">
      <w:pPr>
        <w:jc w:val="center"/>
        <w:rPr>
          <w:rFonts w:asciiTheme="majorHAnsi" w:hAnsiTheme="majorHAnsi" w:cs="Arial"/>
          <w:b/>
          <w:i/>
          <w:sz w:val="56"/>
          <w:szCs w:val="56"/>
          <w:lang w:val="sr-Cyrl-CS"/>
        </w:rPr>
      </w:pPr>
      <w:r>
        <w:rPr>
          <w:rFonts w:asciiTheme="majorHAnsi" w:hAnsiTheme="majorHAnsi" w:cs="Arial"/>
          <w:b/>
          <w:i/>
          <w:sz w:val="56"/>
          <w:szCs w:val="56"/>
          <w:lang w:val="sr-Cyrl-CS"/>
        </w:rPr>
        <w:t>ZA</w:t>
      </w:r>
      <w:r w:rsidR="0016610F" w:rsidRPr="00096E7C">
        <w:rPr>
          <w:rFonts w:asciiTheme="majorHAnsi" w:hAnsiTheme="majorHAnsi" w:cs="Arial"/>
          <w:b/>
          <w:i/>
          <w:sz w:val="56"/>
          <w:szCs w:val="56"/>
          <w:lang w:val="sr-Cyrl-CS"/>
        </w:rPr>
        <w:t xml:space="preserve"> </w:t>
      </w:r>
      <w:r w:rsidR="00916FC8" w:rsidRPr="00096E7C">
        <w:rPr>
          <w:rFonts w:asciiTheme="majorHAnsi" w:hAnsiTheme="majorHAnsi" w:cs="Arial"/>
          <w:b/>
          <w:i/>
          <w:sz w:val="56"/>
          <w:szCs w:val="56"/>
          <w:lang w:val="sr-Cyrl-CS"/>
        </w:rPr>
        <w:t>202</w:t>
      </w:r>
      <w:r w:rsidR="00DA76E6" w:rsidRPr="00096E7C">
        <w:rPr>
          <w:rFonts w:asciiTheme="majorHAnsi" w:hAnsiTheme="majorHAnsi" w:cs="Arial"/>
          <w:b/>
          <w:i/>
          <w:sz w:val="56"/>
          <w:szCs w:val="56"/>
          <w:lang w:val="sr-Latn-BA"/>
        </w:rPr>
        <w:t>5</w:t>
      </w:r>
      <w:r w:rsidR="0016610F" w:rsidRPr="00096E7C">
        <w:rPr>
          <w:rFonts w:asciiTheme="majorHAnsi" w:hAnsiTheme="majorHAnsi" w:cs="Arial"/>
          <w:b/>
          <w:i/>
          <w:sz w:val="56"/>
          <w:szCs w:val="56"/>
          <w:lang w:val="sr-Cyrl-CS"/>
        </w:rPr>
        <w:t xml:space="preserve">. </w:t>
      </w:r>
      <w:r>
        <w:rPr>
          <w:rFonts w:asciiTheme="majorHAnsi" w:hAnsiTheme="majorHAnsi" w:cs="Arial"/>
          <w:b/>
          <w:i/>
          <w:sz w:val="56"/>
          <w:szCs w:val="56"/>
          <w:lang w:val="sr-Cyrl-CS"/>
        </w:rPr>
        <w:t>GODINU</w:t>
      </w: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pStyle w:val="Heading2"/>
        <w:rPr>
          <w:rFonts w:asciiTheme="majorHAnsi" w:hAnsiTheme="majorHAnsi"/>
          <w:sz w:val="24"/>
          <w:szCs w:val="24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16610F" w:rsidP="00650046">
      <w:pPr>
        <w:rPr>
          <w:rFonts w:asciiTheme="majorHAnsi" w:hAnsiTheme="majorHAnsi" w:cs="Arial"/>
          <w:lang w:val="sr-Cyrl-CS"/>
        </w:rPr>
      </w:pPr>
    </w:p>
    <w:p w:rsidR="0016610F" w:rsidRPr="00096E7C" w:rsidRDefault="00D502F7" w:rsidP="00650046">
      <w:pPr>
        <w:jc w:val="center"/>
        <w:rPr>
          <w:rFonts w:asciiTheme="majorHAnsi" w:hAnsiTheme="majorHAnsi" w:cs="Arial"/>
          <w:b/>
          <w:i/>
          <w:sz w:val="26"/>
          <w:lang w:val="sr-Cyrl-CS"/>
        </w:rPr>
      </w:pPr>
      <w:r>
        <w:rPr>
          <w:rFonts w:asciiTheme="majorHAnsi" w:hAnsiTheme="majorHAnsi" w:cs="Arial"/>
          <w:b/>
          <w:i/>
          <w:sz w:val="26"/>
          <w:lang w:val="sr-Cyrl-CS"/>
        </w:rPr>
        <w:t>Trebinje</w:t>
      </w:r>
      <w:r w:rsidR="0016610F" w:rsidRPr="00096E7C">
        <w:rPr>
          <w:rFonts w:asciiTheme="majorHAnsi" w:hAnsiTheme="majorHAnsi" w:cs="Arial"/>
          <w:b/>
          <w:i/>
          <w:sz w:val="26"/>
          <w:lang w:val="sr-Cyrl-CS"/>
        </w:rPr>
        <w:t xml:space="preserve">, </w:t>
      </w:r>
      <w:r>
        <w:rPr>
          <w:rFonts w:asciiTheme="majorHAnsi" w:hAnsiTheme="majorHAnsi" w:cs="Arial"/>
          <w:b/>
          <w:i/>
          <w:sz w:val="26"/>
        </w:rPr>
        <w:t>decembar</w:t>
      </w:r>
      <w:r w:rsidR="00916E04" w:rsidRPr="00096E7C">
        <w:rPr>
          <w:rFonts w:asciiTheme="majorHAnsi" w:hAnsiTheme="majorHAnsi" w:cs="Arial"/>
          <w:b/>
          <w:i/>
          <w:sz w:val="26"/>
        </w:rPr>
        <w:t xml:space="preserve"> </w:t>
      </w:r>
      <w:r w:rsidR="00916FC8" w:rsidRPr="00096E7C">
        <w:rPr>
          <w:rFonts w:asciiTheme="majorHAnsi" w:hAnsiTheme="majorHAnsi" w:cs="Arial"/>
          <w:b/>
          <w:i/>
          <w:sz w:val="26"/>
          <w:lang w:val="sr-Cyrl-CS"/>
        </w:rPr>
        <w:t>202</w:t>
      </w:r>
      <w:r w:rsidR="00096E7C" w:rsidRPr="00096E7C">
        <w:rPr>
          <w:rFonts w:asciiTheme="majorHAnsi" w:hAnsiTheme="majorHAnsi" w:cs="Arial"/>
          <w:b/>
          <w:i/>
          <w:sz w:val="26"/>
          <w:lang w:val="sr-Latn-BA"/>
        </w:rPr>
        <w:t>4</w:t>
      </w:r>
      <w:r w:rsidR="0016610F" w:rsidRPr="00096E7C">
        <w:rPr>
          <w:rFonts w:asciiTheme="majorHAnsi" w:hAnsiTheme="majorHAnsi" w:cs="Arial"/>
          <w:b/>
          <w:i/>
          <w:sz w:val="26"/>
          <w:lang w:val="sr-Cyrl-CS"/>
        </w:rPr>
        <w:t xml:space="preserve">. </w:t>
      </w:r>
    </w:p>
    <w:p w:rsidR="0016610F" w:rsidRPr="00096E7C" w:rsidRDefault="0016610F" w:rsidP="003B7EC3">
      <w:pPr>
        <w:jc w:val="both"/>
        <w:rPr>
          <w:rFonts w:asciiTheme="majorHAnsi" w:hAnsiTheme="majorHAnsi"/>
          <w:lang w:val="sr-Cyrl-CS"/>
        </w:rPr>
      </w:pPr>
    </w:p>
    <w:p w:rsidR="0016610F" w:rsidRPr="00096E7C" w:rsidRDefault="0016610F" w:rsidP="00197302">
      <w:pPr>
        <w:jc w:val="center"/>
        <w:rPr>
          <w:rFonts w:asciiTheme="majorHAnsi" w:hAnsiTheme="majorHAnsi"/>
        </w:rPr>
      </w:pPr>
    </w:p>
    <w:p w:rsidR="00EE299C" w:rsidRPr="00096E7C" w:rsidRDefault="00EE299C" w:rsidP="00197302">
      <w:pPr>
        <w:jc w:val="center"/>
        <w:rPr>
          <w:rFonts w:asciiTheme="majorHAnsi" w:hAnsiTheme="majorHAnsi"/>
        </w:rPr>
      </w:pPr>
    </w:p>
    <w:p w:rsidR="0016610F" w:rsidRPr="00096E7C" w:rsidRDefault="00D502F7" w:rsidP="003B7EC3">
      <w:pPr>
        <w:jc w:val="both"/>
        <w:rPr>
          <w:rFonts w:asciiTheme="majorHAnsi" w:hAnsiTheme="majorHAnsi"/>
          <w:b/>
          <w:sz w:val="28"/>
          <w:szCs w:val="28"/>
          <w:lang w:val="sr-Cyrl-CS"/>
        </w:rPr>
      </w:pPr>
      <w:r>
        <w:rPr>
          <w:rFonts w:asciiTheme="majorHAnsi" w:hAnsiTheme="majorHAnsi"/>
          <w:b/>
          <w:sz w:val="28"/>
          <w:szCs w:val="28"/>
          <w:lang w:val="sr-Cyrl-CS"/>
        </w:rPr>
        <w:t>Sadržaj</w:t>
      </w:r>
    </w:p>
    <w:p w:rsidR="0016610F" w:rsidRPr="00096E7C" w:rsidRDefault="0016610F" w:rsidP="003B7EC3">
      <w:pPr>
        <w:jc w:val="both"/>
        <w:rPr>
          <w:rFonts w:asciiTheme="majorHAnsi" w:hAnsiTheme="majorHAnsi"/>
          <w:b/>
          <w:sz w:val="28"/>
          <w:szCs w:val="28"/>
          <w:lang w:val="sr-Cyrl-CS"/>
        </w:rPr>
      </w:pPr>
    </w:p>
    <w:p w:rsidR="0016610F" w:rsidRPr="00096E7C" w:rsidRDefault="0016610F" w:rsidP="00CE6505">
      <w:pPr>
        <w:ind w:right="425"/>
        <w:jc w:val="both"/>
        <w:rPr>
          <w:rFonts w:asciiTheme="majorHAnsi" w:hAnsiTheme="majorHAnsi"/>
          <w:lang w:val="sr-Cyrl-CS"/>
        </w:rPr>
      </w:pPr>
    </w:p>
    <w:p w:rsidR="001D3B29" w:rsidRDefault="00320E75">
      <w:pPr>
        <w:pStyle w:val="TOC1"/>
        <w:rPr>
          <w:rFonts w:asciiTheme="minorHAnsi" w:eastAsiaTheme="minorEastAsia" w:hAnsiTheme="minorHAnsi" w:cstheme="minorBidi"/>
          <w:b w:val="0"/>
          <w:lang w:val="sr-Cyrl-ME" w:eastAsia="sr-Cyrl-ME"/>
        </w:rPr>
      </w:pPr>
      <w:r w:rsidRPr="00096E7C">
        <w:rPr>
          <w:rFonts w:asciiTheme="majorHAnsi" w:hAnsiTheme="majorHAnsi"/>
          <w:sz w:val="24"/>
          <w:szCs w:val="24"/>
        </w:rPr>
        <w:fldChar w:fldCharType="begin"/>
      </w:r>
      <w:r w:rsidR="0016610F" w:rsidRPr="00096E7C">
        <w:rPr>
          <w:rFonts w:asciiTheme="majorHAnsi" w:hAnsiTheme="majorHAnsi"/>
          <w:sz w:val="24"/>
          <w:szCs w:val="24"/>
        </w:rPr>
        <w:instrText xml:space="preserve"> TOC \o "1-5" \h \z \u </w:instrText>
      </w:r>
      <w:r w:rsidRPr="00096E7C">
        <w:rPr>
          <w:rFonts w:asciiTheme="majorHAnsi" w:hAnsiTheme="majorHAnsi"/>
          <w:sz w:val="24"/>
          <w:szCs w:val="24"/>
        </w:rPr>
        <w:fldChar w:fldCharType="separate"/>
      </w:r>
      <w:hyperlink w:anchor="_Toc186525895" w:history="1">
        <w:r w:rsidR="001D3B29" w:rsidRPr="000B52C6">
          <w:rPr>
            <w:rStyle w:val="Hyperlink"/>
            <w:rFonts w:asciiTheme="majorHAnsi" w:hAnsiTheme="majorHAnsi"/>
          </w:rPr>
          <w:t>1.</w:t>
        </w:r>
        <w:r w:rsidR="001D3B29">
          <w:rPr>
            <w:rFonts w:asciiTheme="minorHAnsi" w:eastAsiaTheme="minorEastAsia" w:hAnsiTheme="minorHAnsi" w:cstheme="minorBidi"/>
            <w:b w:val="0"/>
            <w:lang w:val="sr-Cyrl-ME" w:eastAsia="sr-Cyrl-ME"/>
          </w:rPr>
          <w:tab/>
        </w:r>
        <w:r w:rsidR="00D502F7">
          <w:rPr>
            <w:rStyle w:val="Hyperlink"/>
            <w:rFonts w:asciiTheme="majorHAnsi" w:hAnsiTheme="majorHAnsi"/>
          </w:rPr>
          <w:t>UVOD</w:t>
        </w:r>
        <w:r w:rsidR="001D3B29">
          <w:rPr>
            <w:webHidden/>
          </w:rPr>
          <w:tab/>
        </w:r>
        <w:r w:rsidR="001D3B29">
          <w:rPr>
            <w:webHidden/>
          </w:rPr>
          <w:fldChar w:fldCharType="begin"/>
        </w:r>
        <w:r w:rsidR="001D3B29">
          <w:rPr>
            <w:webHidden/>
          </w:rPr>
          <w:instrText xml:space="preserve"> PAGEREF _Toc186525895 \h </w:instrText>
        </w:r>
        <w:r w:rsidR="001D3B29">
          <w:rPr>
            <w:webHidden/>
          </w:rPr>
        </w:r>
        <w:r w:rsidR="001D3B29">
          <w:rPr>
            <w:webHidden/>
          </w:rPr>
          <w:fldChar w:fldCharType="separate"/>
        </w:r>
        <w:r w:rsidR="00D502F7">
          <w:rPr>
            <w:webHidden/>
          </w:rPr>
          <w:t>3</w:t>
        </w:r>
        <w:r w:rsidR="001D3B29">
          <w:rPr>
            <w:webHidden/>
          </w:rPr>
          <w:fldChar w:fldCharType="end"/>
        </w:r>
      </w:hyperlink>
    </w:p>
    <w:p w:rsidR="001D3B29" w:rsidRDefault="00CB0013">
      <w:pPr>
        <w:pStyle w:val="TOC1"/>
        <w:rPr>
          <w:rFonts w:asciiTheme="minorHAnsi" w:eastAsiaTheme="minorEastAsia" w:hAnsiTheme="minorHAnsi" w:cstheme="minorBidi"/>
          <w:b w:val="0"/>
          <w:lang w:val="sr-Cyrl-ME" w:eastAsia="sr-Cyrl-ME"/>
        </w:rPr>
      </w:pPr>
      <w:hyperlink w:anchor="_Toc186525896" w:history="1">
        <w:r w:rsidR="001D3B29" w:rsidRPr="000B52C6">
          <w:rPr>
            <w:rStyle w:val="Hyperlink"/>
            <w:rFonts w:asciiTheme="majorHAnsi" w:hAnsiTheme="majorHAnsi"/>
            <w:lang w:val="sr-Cyrl-BA"/>
          </w:rPr>
          <w:t>2.</w:t>
        </w:r>
        <w:r w:rsidR="001D3B29">
          <w:rPr>
            <w:rFonts w:asciiTheme="minorHAnsi" w:eastAsiaTheme="minorEastAsia" w:hAnsiTheme="minorHAnsi" w:cstheme="minorBidi"/>
            <w:b w:val="0"/>
            <w:lang w:val="sr-Cyrl-ME" w:eastAsia="sr-Cyrl-ME"/>
          </w:rPr>
          <w:tab/>
        </w:r>
        <w:r w:rsidR="00D502F7">
          <w:rPr>
            <w:rStyle w:val="Hyperlink"/>
            <w:rFonts w:asciiTheme="majorHAnsi" w:hAnsiTheme="majorHAnsi"/>
            <w:lang w:val="ru-RU"/>
          </w:rPr>
          <w:t>PRIJEDLOG</w:t>
        </w:r>
        <w:r w:rsidR="001D3B29" w:rsidRPr="000B52C6">
          <w:rPr>
            <w:rStyle w:val="Hyperlink"/>
            <w:rFonts w:asciiTheme="majorHAnsi" w:hAnsiTheme="majorHAnsi"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lang w:val="sr-Cyrl-BA"/>
          </w:rPr>
          <w:t>BUDžETA</w:t>
        </w:r>
        <w:r w:rsidR="001D3B29" w:rsidRPr="000B52C6">
          <w:rPr>
            <w:rStyle w:val="Hyperlink"/>
            <w:rFonts w:asciiTheme="majorHAnsi" w:hAnsiTheme="majorHAnsi"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lang w:val="sr-Cyrl-BA"/>
          </w:rPr>
          <w:t>REGULATORNE</w:t>
        </w:r>
        <w:r w:rsidR="001D3B29" w:rsidRPr="000B52C6">
          <w:rPr>
            <w:rStyle w:val="Hyperlink"/>
            <w:rFonts w:asciiTheme="majorHAnsi" w:hAnsiTheme="majorHAnsi"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lang w:val="sr-Cyrl-BA"/>
          </w:rPr>
          <w:t>KOMISIJE</w:t>
        </w:r>
        <w:r w:rsidR="001D3B29" w:rsidRPr="000B52C6">
          <w:rPr>
            <w:rStyle w:val="Hyperlink"/>
            <w:rFonts w:asciiTheme="majorHAnsi" w:hAnsiTheme="majorHAnsi"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lang w:val="sr-Cyrl-BA"/>
          </w:rPr>
          <w:t>ZA</w:t>
        </w:r>
        <w:r w:rsidR="001D3B29" w:rsidRPr="000B52C6">
          <w:rPr>
            <w:rStyle w:val="Hyperlink"/>
            <w:rFonts w:asciiTheme="majorHAnsi" w:hAnsiTheme="majorHAnsi"/>
            <w:lang w:val="sr-Cyrl-BA"/>
          </w:rPr>
          <w:t xml:space="preserve"> 2025. </w:t>
        </w:r>
        <w:r w:rsidR="00D502F7">
          <w:rPr>
            <w:rStyle w:val="Hyperlink"/>
            <w:rFonts w:asciiTheme="majorHAnsi" w:hAnsiTheme="majorHAnsi"/>
            <w:lang w:val="sr-Cyrl-BA"/>
          </w:rPr>
          <w:t>GODINU</w:t>
        </w:r>
        <w:r w:rsidR="001D3B29">
          <w:rPr>
            <w:webHidden/>
          </w:rPr>
          <w:tab/>
        </w:r>
        <w:r w:rsidR="001D3B29">
          <w:rPr>
            <w:webHidden/>
          </w:rPr>
          <w:fldChar w:fldCharType="begin"/>
        </w:r>
        <w:r w:rsidR="001D3B29">
          <w:rPr>
            <w:webHidden/>
          </w:rPr>
          <w:instrText xml:space="preserve"> PAGEREF _Toc186525896 \h </w:instrText>
        </w:r>
        <w:r w:rsidR="001D3B29">
          <w:rPr>
            <w:webHidden/>
          </w:rPr>
        </w:r>
        <w:r w:rsidR="001D3B29">
          <w:rPr>
            <w:webHidden/>
          </w:rPr>
          <w:fldChar w:fldCharType="separate"/>
        </w:r>
        <w:r w:rsidR="00D502F7">
          <w:rPr>
            <w:webHidden/>
          </w:rPr>
          <w:t>4</w:t>
        </w:r>
        <w:r w:rsidR="001D3B29">
          <w:rPr>
            <w:webHidden/>
          </w:rPr>
          <w:fldChar w:fldCharType="end"/>
        </w:r>
      </w:hyperlink>
    </w:p>
    <w:p w:rsidR="001D3B29" w:rsidRDefault="00CB001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897" w:history="1">
        <w:r w:rsidR="001D3B29" w:rsidRPr="000B52C6">
          <w:rPr>
            <w:rStyle w:val="Hyperlink"/>
            <w:rFonts w:asciiTheme="majorHAnsi" w:hAnsiTheme="majorHAnsi"/>
            <w:noProof/>
            <w:lang w:val="sr-Latn-BA"/>
          </w:rPr>
          <w:t xml:space="preserve">I </w:t>
        </w:r>
        <w:r w:rsidR="00D502F7">
          <w:rPr>
            <w:rStyle w:val="Hyperlink"/>
            <w:rFonts w:asciiTheme="majorHAnsi" w:hAnsiTheme="majorHAnsi"/>
            <w:noProof/>
            <w:lang w:val="sr-Latn-BA"/>
          </w:rPr>
          <w:t>PRIHODI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_Toc186525897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4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898" w:history="1">
        <w:r w:rsidR="001D3B29" w:rsidRPr="000B52C6">
          <w:rPr>
            <w:rStyle w:val="Hyperlink"/>
            <w:rFonts w:asciiTheme="majorHAnsi" w:hAnsiTheme="majorHAnsi"/>
            <w:noProof/>
            <w:lang w:val="sr-Latn-BA"/>
          </w:rPr>
          <w:t xml:space="preserve">II </w:t>
        </w:r>
        <w:r w:rsidR="00D502F7">
          <w:rPr>
            <w:rStyle w:val="Hyperlink"/>
            <w:rFonts w:asciiTheme="majorHAnsi" w:hAnsiTheme="majorHAnsi"/>
            <w:noProof/>
            <w:lang w:val="sr-Latn-BA"/>
          </w:rPr>
          <w:t>R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ASHODI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_Toc186525898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5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899" w:history="1">
        <w:r w:rsidR="00D502F7">
          <w:rPr>
            <w:rStyle w:val="Hyperlink"/>
            <w:rFonts w:asciiTheme="majorHAnsi" w:hAnsiTheme="majorHAnsi"/>
            <w:i/>
            <w:noProof/>
            <w:lang w:val="sr-Latn-BA"/>
          </w:rPr>
          <w:t>A</w:t>
        </w:r>
        <w:r w:rsidR="001D3B29" w:rsidRPr="000B52C6">
          <w:rPr>
            <w:rStyle w:val="Hyperlink"/>
            <w:rFonts w:asciiTheme="majorHAnsi" w:hAnsiTheme="majorHAnsi"/>
            <w:i/>
            <w:noProof/>
            <w:lang w:val="sr-Latn-BA"/>
          </w:rPr>
          <w:t xml:space="preserve">. </w:t>
        </w:r>
        <w:r w:rsidR="00D502F7">
          <w:rPr>
            <w:rStyle w:val="Hyperlink"/>
            <w:rFonts w:asciiTheme="majorHAnsi" w:hAnsiTheme="majorHAnsi"/>
            <w:i/>
            <w:noProof/>
            <w:lang w:val="sr-Latn-BA"/>
          </w:rPr>
          <w:t>TEKUĆI</w:t>
        </w:r>
        <w:r w:rsidR="001D3B29" w:rsidRPr="000B52C6">
          <w:rPr>
            <w:rStyle w:val="Hyperlink"/>
            <w:rFonts w:asciiTheme="majorHAnsi" w:hAnsiTheme="majorHAnsi"/>
            <w:i/>
            <w:noProof/>
            <w:lang w:val="sr-Latn-BA"/>
          </w:rPr>
          <w:t xml:space="preserve"> </w:t>
        </w:r>
        <w:r w:rsidR="00D502F7">
          <w:rPr>
            <w:rStyle w:val="Hyperlink"/>
            <w:rFonts w:asciiTheme="majorHAnsi" w:hAnsiTheme="majorHAnsi"/>
            <w:i/>
            <w:noProof/>
            <w:lang w:val="sr-Latn-BA"/>
          </w:rPr>
          <w:t>TROŠKOVI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_Toc186525899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5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0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1. 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materijala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,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goriva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energije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_Toc186525900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6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1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2. 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plata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,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naknada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plata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ostalih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ličnih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primanja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_Toc186525901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6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2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3.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proizvodnih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usluga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: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transportnih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usluga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,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usluga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održavanja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,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zakupa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ostalih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usluga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_Toc186525902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3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4.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amortizacije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_Toc186525903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4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5.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Nematerijalni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troškovi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_Toc186525904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5" w:history="1"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>6.</w:t>
        </w:r>
        <w:r w:rsidR="001D3B29">
          <w:rPr>
            <w:rFonts w:asciiTheme="minorHAnsi" w:eastAsiaTheme="minorEastAsia" w:hAnsiTheme="minorHAnsi" w:cstheme="minorBidi"/>
            <w:noProof/>
            <w:sz w:val="22"/>
            <w:szCs w:val="22"/>
            <w:lang w:val="sr-Cyrl-ME" w:eastAsia="sr-Cyrl-ME"/>
          </w:rPr>
          <w:tab/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Rashodi</w:t>
        </w:r>
        <w:r w:rsidR="001D3B29" w:rsidRPr="000B52C6">
          <w:rPr>
            <w:rStyle w:val="Hyperlink"/>
            <w:rFonts w:asciiTheme="majorHAnsi" w:hAnsiTheme="majorHAnsi"/>
            <w:noProof/>
            <w:lang w:val="sr-Cyrl-BA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sr-Cyrl-BA"/>
          </w:rPr>
          <w:t>kamata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_Toc186525905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6" w:history="1">
        <w:r w:rsidR="00D502F7">
          <w:rPr>
            <w:rStyle w:val="Hyperlink"/>
            <w:rFonts w:asciiTheme="majorHAnsi" w:hAnsiTheme="majorHAnsi"/>
            <w:i/>
            <w:noProof/>
            <w:lang w:val="sr-Latn-BA"/>
          </w:rPr>
          <w:t>B</w:t>
        </w:r>
        <w:r w:rsidR="001D3B29" w:rsidRPr="000B52C6">
          <w:rPr>
            <w:rStyle w:val="Hyperlink"/>
            <w:rFonts w:asciiTheme="majorHAnsi" w:hAnsiTheme="majorHAnsi"/>
            <w:i/>
            <w:noProof/>
            <w:lang w:val="sr-Latn-BA"/>
          </w:rPr>
          <w:t xml:space="preserve">.  </w:t>
        </w:r>
        <w:r w:rsidR="00D502F7">
          <w:rPr>
            <w:rStyle w:val="Hyperlink"/>
            <w:rFonts w:asciiTheme="majorHAnsi" w:hAnsiTheme="majorHAnsi"/>
            <w:i/>
            <w:noProof/>
            <w:lang w:val="sr-Latn-BA"/>
          </w:rPr>
          <w:t>INVESTICIONA</w:t>
        </w:r>
        <w:r w:rsidR="001D3B29" w:rsidRPr="000B52C6">
          <w:rPr>
            <w:rStyle w:val="Hyperlink"/>
            <w:rFonts w:asciiTheme="majorHAnsi" w:hAnsiTheme="majorHAnsi"/>
            <w:i/>
            <w:noProof/>
            <w:lang w:val="sr-Latn-BA"/>
          </w:rPr>
          <w:t xml:space="preserve"> </w:t>
        </w:r>
        <w:r w:rsidR="00D502F7">
          <w:rPr>
            <w:rStyle w:val="Hyperlink"/>
            <w:rFonts w:asciiTheme="majorHAnsi" w:hAnsiTheme="majorHAnsi"/>
            <w:i/>
            <w:noProof/>
            <w:lang w:val="sr-Latn-BA"/>
          </w:rPr>
          <w:t>ULAGANјA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_Toc186525906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7" w:history="1">
        <w:r w:rsidR="001D3B29" w:rsidRPr="000B52C6">
          <w:rPr>
            <w:rStyle w:val="Hyperlink"/>
            <w:rFonts w:asciiTheme="majorHAnsi" w:hAnsiTheme="majorHAnsi"/>
            <w:noProof/>
          </w:rPr>
          <w:t xml:space="preserve">1.    </w:t>
        </w:r>
        <w:r w:rsidR="00D502F7">
          <w:rPr>
            <w:rStyle w:val="Hyperlink"/>
            <w:rFonts w:asciiTheme="majorHAnsi" w:hAnsiTheme="majorHAnsi"/>
            <w:noProof/>
          </w:rPr>
          <w:t>Nematerijalna</w:t>
        </w:r>
        <w:r w:rsidR="001D3B29" w:rsidRPr="000B52C6">
          <w:rPr>
            <w:rStyle w:val="Hyperlink"/>
            <w:rFonts w:asciiTheme="majorHAnsi" w:hAnsiTheme="majorHAnsi"/>
            <w:noProof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</w:rPr>
          <w:t>sredstva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_Toc186525907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7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8" w:history="1">
        <w:r w:rsidR="001D3B29" w:rsidRPr="000B52C6">
          <w:rPr>
            <w:rStyle w:val="Hyperlink"/>
            <w:rFonts w:asciiTheme="majorHAnsi" w:hAnsiTheme="majorHAnsi"/>
            <w:noProof/>
          </w:rPr>
          <w:t xml:space="preserve">2.    </w:t>
        </w:r>
        <w:r w:rsidR="00D502F7">
          <w:rPr>
            <w:rStyle w:val="Hyperlink"/>
            <w:rFonts w:asciiTheme="majorHAnsi" w:hAnsiTheme="majorHAnsi"/>
            <w:noProof/>
          </w:rPr>
          <w:t>Oprema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_Toc186525908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8</w:t>
        </w:r>
        <w:r w:rsidR="001D3B29">
          <w:rPr>
            <w:noProof/>
            <w:webHidden/>
          </w:rPr>
          <w:fldChar w:fldCharType="end"/>
        </w:r>
      </w:hyperlink>
    </w:p>
    <w:p w:rsidR="001D3B29" w:rsidRDefault="00CB0013" w:rsidP="00273D0E">
      <w:pPr>
        <w:pStyle w:val="TOC5"/>
        <w:rPr>
          <w:rFonts w:asciiTheme="minorHAnsi" w:eastAsiaTheme="minorEastAsia" w:hAnsiTheme="minorHAnsi" w:cstheme="minorBidi"/>
          <w:noProof/>
          <w:sz w:val="22"/>
          <w:szCs w:val="22"/>
          <w:lang w:val="sr-Cyrl-ME" w:eastAsia="sr-Cyrl-ME"/>
        </w:rPr>
      </w:pPr>
      <w:hyperlink w:anchor="_Toc186525909" w:history="1"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 xml:space="preserve">3.    </w:t>
        </w:r>
        <w:r w:rsidR="00D502F7">
          <w:rPr>
            <w:rStyle w:val="Hyperlink"/>
            <w:rFonts w:asciiTheme="majorHAnsi" w:hAnsiTheme="majorHAnsi"/>
            <w:noProof/>
            <w:lang w:val="ru-RU"/>
          </w:rPr>
          <w:t>Dio</w:t>
        </w:r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ru-RU"/>
          </w:rPr>
          <w:t>anuiteta</w:t>
        </w:r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ru-RU"/>
          </w:rPr>
          <w:t>koji</w:t>
        </w:r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ru-RU"/>
          </w:rPr>
          <w:t>se</w:t>
        </w:r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ru-RU"/>
          </w:rPr>
          <w:t>odnosi</w:t>
        </w:r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ru-RU"/>
          </w:rPr>
          <w:t>na</w:t>
        </w:r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ru-RU"/>
          </w:rPr>
          <w:t>glavnicu</w:t>
        </w:r>
        <w:r w:rsidR="001D3B29" w:rsidRPr="000B52C6">
          <w:rPr>
            <w:rStyle w:val="Hyperlink"/>
            <w:rFonts w:asciiTheme="majorHAnsi" w:hAnsiTheme="majorHAnsi"/>
            <w:noProof/>
            <w:lang w:val="ru-RU"/>
          </w:rPr>
          <w:t xml:space="preserve"> </w:t>
        </w:r>
        <w:r w:rsidR="00D502F7">
          <w:rPr>
            <w:rStyle w:val="Hyperlink"/>
            <w:rFonts w:asciiTheme="majorHAnsi" w:hAnsiTheme="majorHAnsi"/>
            <w:noProof/>
            <w:lang w:val="ru-RU"/>
          </w:rPr>
          <w:t>kredita</w:t>
        </w:r>
        <w:r w:rsidR="001D3B29">
          <w:rPr>
            <w:noProof/>
            <w:webHidden/>
          </w:rPr>
          <w:tab/>
        </w:r>
        <w:r w:rsidR="001D3B29">
          <w:rPr>
            <w:noProof/>
            <w:webHidden/>
          </w:rPr>
          <w:fldChar w:fldCharType="begin"/>
        </w:r>
        <w:r w:rsidR="001D3B29">
          <w:rPr>
            <w:noProof/>
            <w:webHidden/>
          </w:rPr>
          <w:instrText xml:space="preserve"> PAGEREF _Toc186525909 \h </w:instrText>
        </w:r>
        <w:r w:rsidR="001D3B29">
          <w:rPr>
            <w:noProof/>
            <w:webHidden/>
          </w:rPr>
        </w:r>
        <w:r w:rsidR="001D3B29">
          <w:rPr>
            <w:noProof/>
            <w:webHidden/>
          </w:rPr>
          <w:fldChar w:fldCharType="separate"/>
        </w:r>
        <w:r w:rsidR="00D502F7">
          <w:rPr>
            <w:noProof/>
            <w:webHidden/>
          </w:rPr>
          <w:t>8</w:t>
        </w:r>
        <w:r w:rsidR="001D3B29">
          <w:rPr>
            <w:noProof/>
            <w:webHidden/>
          </w:rPr>
          <w:fldChar w:fldCharType="end"/>
        </w:r>
      </w:hyperlink>
    </w:p>
    <w:p w:rsidR="0016610F" w:rsidRPr="00096E7C" w:rsidRDefault="00320E75" w:rsidP="000C458E">
      <w:pPr>
        <w:tabs>
          <w:tab w:val="left" w:pos="0"/>
          <w:tab w:val="right" w:leader="dot" w:pos="9214"/>
        </w:tabs>
        <w:spacing w:after="120"/>
        <w:ind w:right="424"/>
        <w:jc w:val="both"/>
        <w:rPr>
          <w:rFonts w:asciiTheme="majorHAnsi" w:hAnsiTheme="majorHAnsi"/>
          <w:sz w:val="22"/>
          <w:szCs w:val="22"/>
          <w:lang w:val="sr-Cyrl-CS"/>
        </w:rPr>
      </w:pPr>
      <w:r w:rsidRPr="00096E7C">
        <w:rPr>
          <w:rFonts w:asciiTheme="majorHAnsi" w:hAnsiTheme="majorHAnsi"/>
        </w:rPr>
        <w:fldChar w:fldCharType="end"/>
      </w:r>
    </w:p>
    <w:p w:rsidR="0016610F" w:rsidRPr="00096E7C" w:rsidRDefault="0016610F" w:rsidP="008E2AE8">
      <w:pPr>
        <w:spacing w:after="120"/>
        <w:jc w:val="both"/>
        <w:rPr>
          <w:rFonts w:asciiTheme="majorHAnsi" w:hAnsiTheme="majorHAnsi"/>
          <w:sz w:val="22"/>
          <w:szCs w:val="22"/>
          <w:lang w:val="sr-Cyrl-CS"/>
        </w:rPr>
      </w:pPr>
      <w:r w:rsidRPr="00096E7C">
        <w:rPr>
          <w:rFonts w:asciiTheme="majorHAnsi" w:hAnsiTheme="majorHAnsi"/>
          <w:sz w:val="22"/>
          <w:szCs w:val="22"/>
          <w:lang w:val="sr-Cyrl-CS"/>
        </w:rPr>
        <w:br w:type="page"/>
      </w:r>
    </w:p>
    <w:p w:rsidR="0016610F" w:rsidRPr="00096E7C" w:rsidRDefault="00D502F7" w:rsidP="001D3B29">
      <w:pPr>
        <w:pStyle w:val="Heading1"/>
        <w:numPr>
          <w:ilvl w:val="0"/>
          <w:numId w:val="2"/>
        </w:numPr>
        <w:spacing w:before="240" w:after="240"/>
        <w:ind w:left="567" w:hanging="567"/>
        <w:jc w:val="left"/>
        <w:rPr>
          <w:rFonts w:asciiTheme="majorHAnsi" w:hAnsiTheme="majorHAnsi"/>
          <w:lang w:val="sr-Cyrl-CS"/>
        </w:rPr>
      </w:pPr>
      <w:bookmarkStart w:id="0" w:name="_Toc308095401"/>
      <w:bookmarkStart w:id="1" w:name="_Toc308095402"/>
      <w:bookmarkStart w:id="2" w:name="_Toc308095403"/>
      <w:bookmarkStart w:id="3" w:name="_Toc308095404"/>
      <w:bookmarkStart w:id="4" w:name="_Toc308095406"/>
      <w:bookmarkStart w:id="5" w:name="_Toc308095408"/>
      <w:bookmarkStart w:id="6" w:name="_Toc308095409"/>
      <w:bookmarkStart w:id="7" w:name="_Toc308095411"/>
      <w:bookmarkStart w:id="8" w:name="_Toc308095412"/>
      <w:bookmarkStart w:id="9" w:name="_Toc308095413"/>
      <w:bookmarkStart w:id="10" w:name="_Toc308095414"/>
      <w:bookmarkStart w:id="11" w:name="_Toc308095415"/>
      <w:bookmarkStart w:id="12" w:name="_Toc308095417"/>
      <w:bookmarkStart w:id="13" w:name="_Toc308095418"/>
      <w:bookmarkStart w:id="14" w:name="_Toc308095419"/>
      <w:bookmarkStart w:id="15" w:name="_Toc308095420"/>
      <w:bookmarkStart w:id="16" w:name="_Toc308095421"/>
      <w:bookmarkStart w:id="17" w:name="_Toc308095422"/>
      <w:bookmarkStart w:id="18" w:name="_Toc308095423"/>
      <w:bookmarkStart w:id="19" w:name="_Toc308095424"/>
      <w:bookmarkStart w:id="20" w:name="_Toc308095425"/>
      <w:bookmarkStart w:id="21" w:name="_Toc308095426"/>
      <w:bookmarkStart w:id="22" w:name="_Toc308095427"/>
      <w:bookmarkStart w:id="23" w:name="_Toc308095428"/>
      <w:bookmarkStart w:id="24" w:name="_Toc308095429"/>
      <w:bookmarkStart w:id="25" w:name="_Toc308095430"/>
      <w:bookmarkStart w:id="26" w:name="_Toc308095431"/>
      <w:bookmarkStart w:id="27" w:name="_Toc308095432"/>
      <w:bookmarkStart w:id="28" w:name="_Toc308095433"/>
      <w:bookmarkStart w:id="29" w:name="_Toc308095434"/>
      <w:bookmarkStart w:id="30" w:name="_Toc308095435"/>
      <w:bookmarkStart w:id="31" w:name="_Toc308095436"/>
      <w:bookmarkStart w:id="32" w:name="_Toc308095437"/>
      <w:bookmarkStart w:id="33" w:name="_Toc308095438"/>
      <w:bookmarkStart w:id="34" w:name="_Toc308095439"/>
      <w:bookmarkStart w:id="35" w:name="_Toc308095440"/>
      <w:bookmarkStart w:id="36" w:name="_Toc308095441"/>
      <w:bookmarkStart w:id="37" w:name="_Toc1865258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rPr>
          <w:rFonts w:asciiTheme="majorHAnsi" w:hAnsiTheme="majorHAnsi"/>
          <w:lang w:val="sr-Cyrl-CS"/>
        </w:rPr>
        <w:t>UVOD</w:t>
      </w:r>
      <w:bookmarkEnd w:id="37"/>
    </w:p>
    <w:p w:rsidR="001026AE" w:rsidRDefault="00D502F7" w:rsidP="00FF3CDE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ru-RU"/>
        </w:rPr>
        <w:t>Regulatorn</w:t>
      </w:r>
      <w:r w:rsidR="00FF3CDE" w:rsidRPr="00096E7C">
        <w:rPr>
          <w:rFonts w:asciiTheme="majorHAnsi" w:hAnsiTheme="majorHAnsi"/>
        </w:rPr>
        <w:t>a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komisij</w:t>
      </w:r>
      <w:r w:rsidR="00FF3CDE" w:rsidRPr="00096E7C">
        <w:rPr>
          <w:rFonts w:asciiTheme="majorHAnsi" w:hAnsiTheme="majorHAnsi"/>
        </w:rPr>
        <w:t>a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za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energetiku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Republike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Srpske</w:t>
      </w:r>
      <w:r w:rsidR="00FF3CDE" w:rsidRPr="00D502F7">
        <w:rPr>
          <w:rFonts w:asciiTheme="majorHAnsi" w:hAnsiTheme="majorHAnsi"/>
          <w:lang w:val="sr-Cyrl-CS"/>
        </w:rPr>
        <w:t xml:space="preserve"> (</w:t>
      </w:r>
      <w:r>
        <w:rPr>
          <w:rFonts w:asciiTheme="majorHAnsi" w:hAnsiTheme="majorHAnsi"/>
          <w:lang w:val="ru-RU"/>
        </w:rPr>
        <w:t>u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dal</w:t>
      </w:r>
      <w:r w:rsidRPr="00D502F7">
        <w:rPr>
          <w:rFonts w:asciiTheme="majorHAnsi" w:hAnsiTheme="majorHAnsi"/>
          <w:lang w:val="sr-Cyrl-CS"/>
        </w:rPr>
        <w:t>ј</w:t>
      </w:r>
      <w:r>
        <w:rPr>
          <w:rFonts w:asciiTheme="majorHAnsi" w:hAnsiTheme="majorHAnsi"/>
          <w:lang w:val="ru-RU"/>
        </w:rPr>
        <w:t>em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tekstu</w:t>
      </w:r>
      <w:r w:rsidR="00FF3CDE" w:rsidRPr="00D502F7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ru-RU"/>
        </w:rPr>
        <w:t>Regulatorna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komisija</w:t>
      </w:r>
      <w:r w:rsidR="00FF3CDE" w:rsidRPr="00D502F7">
        <w:rPr>
          <w:rFonts w:asciiTheme="majorHAnsi" w:hAnsiTheme="majorHAnsi"/>
          <w:lang w:val="sr-Cyrl-CS"/>
        </w:rPr>
        <w:t xml:space="preserve">), </w:t>
      </w:r>
      <w:r>
        <w:rPr>
          <w:rFonts w:asciiTheme="majorHAnsi" w:hAnsiTheme="majorHAnsi"/>
          <w:lang w:val="ru-RU"/>
        </w:rPr>
        <w:t>kao</w:t>
      </w:r>
      <w:r w:rsidR="00FF3CDE" w:rsidRPr="00D502F7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BA"/>
        </w:rPr>
        <w:t>samostalna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neprofitna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organizacija</w:t>
      </w:r>
      <w:r w:rsidR="00FF3CDE" w:rsidRPr="00096E7C">
        <w:rPr>
          <w:rFonts w:asciiTheme="majorHAnsi" w:hAnsiTheme="majorHAnsi"/>
          <w:lang w:val="sr-Cyrl-CS"/>
        </w:rPr>
        <w:t>,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funkcionalno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nezavisna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republičkih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organa</w:t>
      </w:r>
      <w:r w:rsidR="00FF3CDE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energetskih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subjekata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korisnika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njihovih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proizvoda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usluga</w:t>
      </w:r>
      <w:r w:rsidR="00EF03C9" w:rsidRPr="00096E7C">
        <w:rPr>
          <w:rFonts w:asciiTheme="majorHAnsi" w:hAnsiTheme="majorHAnsi"/>
          <w:lang w:val="sr-Latn-BA"/>
        </w:rPr>
        <w:t>,</w:t>
      </w:r>
      <w:r w:rsidR="00FF3CDE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BA"/>
        </w:rPr>
        <w:t>osnovana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FF3CD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zakonom</w:t>
      </w:r>
      <w:r w:rsidR="00FF3CDE" w:rsidRPr="00096E7C">
        <w:rPr>
          <w:rFonts w:asciiTheme="majorHAnsi" w:hAnsiTheme="majorHAnsi"/>
          <w:lang w:val="sr-Cyrl-BA"/>
        </w:rPr>
        <w:t xml:space="preserve">. </w:t>
      </w:r>
    </w:p>
    <w:p w:rsidR="00FF3CDE" w:rsidRPr="00096E7C" w:rsidRDefault="00D502F7" w:rsidP="00FF3CDE">
      <w:pPr>
        <w:spacing w:after="240"/>
        <w:jc w:val="both"/>
        <w:rPr>
          <w:rFonts w:asciiTheme="majorHAnsi" w:hAnsiTheme="majorHAnsi" w:cs="Arial"/>
          <w:lang w:val="sr-Cyrl-CS"/>
        </w:rPr>
      </w:pPr>
      <w:r>
        <w:rPr>
          <w:rFonts w:asciiTheme="majorHAnsi" w:hAnsiTheme="majorHAnsi" w:cs="Arial"/>
          <w:lang w:val="sr-Cyrl-CS"/>
        </w:rPr>
        <w:t>Finansiranje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rada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Regulatorne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komisije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obezbjeđuje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iz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godišnjih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naknada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od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energetskih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subjekata</w:t>
      </w:r>
      <w:r w:rsidR="00FF3CDE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korisnika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dozvole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za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obavlјanje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jedne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ili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više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energetskih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djelatnosti</w:t>
      </w:r>
      <w:r w:rsidR="00273DFA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jednokratnih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naknada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za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postupke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koje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sprovodi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po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zahtjevima</w:t>
      </w:r>
      <w:r w:rsidR="00273DFA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kao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iz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drugih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izvora</w:t>
      </w:r>
      <w:r w:rsidR="00273DFA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u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skladu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sa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propisima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iz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oblasti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obn</w:t>
      </w:r>
      <w:r w:rsidR="003175A3" w:rsidRPr="00096E7C">
        <w:rPr>
          <w:rFonts w:asciiTheme="majorHAnsi" w:hAnsiTheme="majorHAnsi" w:cs="Arial"/>
        </w:rPr>
        <w:t>o</w:t>
      </w:r>
      <w:r>
        <w:rPr>
          <w:rFonts w:asciiTheme="majorHAnsi" w:hAnsiTheme="majorHAnsi" w:cs="Arial"/>
          <w:lang w:val="sr-Cyrl-CS"/>
        </w:rPr>
        <w:t>vlјivih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izvora</w:t>
      </w:r>
      <w:r w:rsidR="00273DFA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energije</w:t>
      </w:r>
      <w:r w:rsidR="00273DFA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a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na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osnovu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odredbe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člana</w:t>
      </w:r>
      <w:r w:rsidR="00FF3CDE" w:rsidRPr="00096E7C">
        <w:rPr>
          <w:rFonts w:asciiTheme="majorHAnsi" w:hAnsiTheme="majorHAnsi" w:cs="Arial"/>
          <w:lang w:val="sr-Cyrl-CS"/>
        </w:rPr>
        <w:t xml:space="preserve"> 24. </w:t>
      </w:r>
      <w:r>
        <w:rPr>
          <w:rFonts w:asciiTheme="majorHAnsi" w:hAnsiTheme="majorHAnsi" w:cs="Arial"/>
          <w:lang w:val="sr-Cyrl-CS"/>
        </w:rPr>
        <w:t>stav</w:t>
      </w:r>
      <w:r w:rsidR="00FF3CDE" w:rsidRPr="00096E7C">
        <w:rPr>
          <w:rFonts w:asciiTheme="majorHAnsi" w:hAnsiTheme="majorHAnsi" w:cs="Arial"/>
          <w:lang w:val="sr-Cyrl-CS"/>
        </w:rPr>
        <w:t xml:space="preserve"> 1. </w:t>
      </w:r>
      <w:r>
        <w:rPr>
          <w:rFonts w:asciiTheme="majorHAnsi" w:hAnsiTheme="majorHAnsi" w:cs="Arial"/>
          <w:lang w:val="sr-Cyrl-CS"/>
        </w:rPr>
        <w:t>Zakona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</w:t>
      </w:r>
      <w:r w:rsidR="00FF3CD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energetici</w:t>
      </w:r>
      <w:r w:rsidR="001D3B29">
        <w:rPr>
          <w:rFonts w:asciiTheme="majorHAnsi" w:hAnsiTheme="majorHAnsi" w:cs="Arial"/>
          <w:lang w:val="sr-Cyrl-CS"/>
        </w:rPr>
        <w:t xml:space="preserve"> </w:t>
      </w:r>
      <w:r w:rsidR="001D3B29" w:rsidRPr="00096E7C">
        <w:rPr>
          <w:rFonts w:asciiTheme="majorHAnsi" w:hAnsiTheme="majorHAnsi" w:cs="Arial"/>
          <w:iCs/>
          <w:lang w:val="sr-Cyrl-BA"/>
        </w:rPr>
        <w:t>(</w:t>
      </w:r>
      <w:r>
        <w:rPr>
          <w:rFonts w:asciiTheme="majorHAnsi" w:hAnsiTheme="majorHAnsi" w:cs="Arial"/>
          <w:iCs/>
          <w:lang w:val="sr-Cyrl-BA"/>
        </w:rPr>
        <w:t>Službeni</w:t>
      </w:r>
      <w:r w:rsidR="001D3B29" w:rsidRPr="00096E7C">
        <w:rPr>
          <w:rFonts w:asciiTheme="majorHAnsi" w:hAnsiTheme="majorHAnsi" w:cs="Arial"/>
          <w:iCs/>
          <w:lang w:val="sr-Cyrl-BA"/>
        </w:rPr>
        <w:t xml:space="preserve"> </w:t>
      </w:r>
      <w:r>
        <w:rPr>
          <w:rFonts w:asciiTheme="majorHAnsi" w:hAnsiTheme="majorHAnsi" w:cs="Arial"/>
          <w:iCs/>
          <w:lang w:val="sr-Cyrl-BA"/>
        </w:rPr>
        <w:t>glasnik</w:t>
      </w:r>
      <w:r w:rsidR="001D3B29" w:rsidRPr="00096E7C">
        <w:rPr>
          <w:rFonts w:asciiTheme="majorHAnsi" w:hAnsiTheme="majorHAnsi" w:cs="Arial"/>
          <w:iCs/>
          <w:lang w:val="sr-Cyrl-BA"/>
        </w:rPr>
        <w:t xml:space="preserve"> </w:t>
      </w:r>
      <w:r>
        <w:rPr>
          <w:rFonts w:asciiTheme="majorHAnsi" w:hAnsiTheme="majorHAnsi" w:cs="Arial"/>
          <w:iCs/>
          <w:lang w:val="sr-Cyrl-BA"/>
        </w:rPr>
        <w:t>Republike</w:t>
      </w:r>
      <w:r w:rsidR="001D3B29" w:rsidRPr="00096E7C">
        <w:rPr>
          <w:rFonts w:asciiTheme="majorHAnsi" w:hAnsiTheme="majorHAnsi" w:cs="Arial"/>
          <w:iCs/>
          <w:lang w:val="sr-Cyrl-BA"/>
        </w:rPr>
        <w:t xml:space="preserve"> </w:t>
      </w:r>
      <w:r>
        <w:rPr>
          <w:rFonts w:asciiTheme="majorHAnsi" w:hAnsiTheme="majorHAnsi" w:cs="Arial"/>
          <w:iCs/>
          <w:lang w:val="sr-Cyrl-BA"/>
        </w:rPr>
        <w:t>Srpske</w:t>
      </w:r>
      <w:r w:rsidR="001D3B29" w:rsidRPr="00096E7C">
        <w:rPr>
          <w:rFonts w:asciiTheme="majorHAnsi" w:hAnsiTheme="majorHAnsi" w:cs="Arial"/>
          <w:iCs/>
          <w:lang w:val="sr-Cyrl-BA"/>
        </w:rPr>
        <w:t xml:space="preserve">, </w:t>
      </w:r>
      <w:r>
        <w:rPr>
          <w:rFonts w:asciiTheme="majorHAnsi" w:hAnsiTheme="majorHAnsi" w:cs="Arial"/>
          <w:iCs/>
          <w:lang w:val="sr-Cyrl-BA"/>
        </w:rPr>
        <w:t>broj</w:t>
      </w:r>
      <w:r w:rsidR="001D3B29" w:rsidRPr="00096E7C">
        <w:rPr>
          <w:rFonts w:asciiTheme="majorHAnsi" w:hAnsiTheme="majorHAnsi" w:cs="Arial"/>
          <w:iCs/>
          <w:lang w:val="sr-Cyrl-BA"/>
        </w:rPr>
        <w:t xml:space="preserve"> 49/09</w:t>
      </w:r>
      <w:r w:rsidR="001D3B29" w:rsidRPr="00096E7C">
        <w:rPr>
          <w:rFonts w:asciiTheme="majorHAnsi" w:hAnsiTheme="majorHAnsi" w:cs="Arial"/>
          <w:iCs/>
          <w:lang w:val="sr-Latn-ME"/>
        </w:rPr>
        <w:t xml:space="preserve"> </w:t>
      </w:r>
      <w:r>
        <w:rPr>
          <w:rFonts w:asciiTheme="majorHAnsi" w:hAnsiTheme="majorHAnsi" w:cs="Arial"/>
          <w:iCs/>
          <w:lang w:val="sr-Cyrl-ME"/>
        </w:rPr>
        <w:t>i</w:t>
      </w:r>
      <w:r w:rsidR="001D3B29" w:rsidRPr="00096E7C">
        <w:rPr>
          <w:rFonts w:asciiTheme="majorHAnsi" w:hAnsiTheme="majorHAnsi" w:cs="Arial"/>
          <w:iCs/>
          <w:lang w:val="sr-Cyrl-ME"/>
        </w:rPr>
        <w:t xml:space="preserve"> 16/23</w:t>
      </w:r>
      <w:r w:rsidR="001D3B29" w:rsidRPr="00096E7C">
        <w:rPr>
          <w:rFonts w:asciiTheme="majorHAnsi" w:hAnsiTheme="majorHAnsi" w:cs="Arial"/>
          <w:iCs/>
          <w:lang w:val="sr-Cyrl-BA"/>
        </w:rPr>
        <w:t>)</w:t>
      </w:r>
      <w:r w:rsidR="00FF3CDE" w:rsidRPr="00096E7C">
        <w:rPr>
          <w:rFonts w:asciiTheme="majorHAnsi" w:hAnsiTheme="majorHAnsi" w:cs="Arial"/>
          <w:lang w:val="sr-Cyrl-CS"/>
        </w:rPr>
        <w:t>.</w:t>
      </w:r>
    </w:p>
    <w:p w:rsidR="001026AE" w:rsidRDefault="00D502F7" w:rsidP="00D31173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S</w:t>
      </w:r>
      <w:r>
        <w:rPr>
          <w:rFonts w:asciiTheme="majorHAnsi" w:hAnsiTheme="majorHAnsi"/>
          <w:lang w:val="sr-Cyrl-CS"/>
        </w:rPr>
        <w:t>redstva</w:t>
      </w:r>
      <w:r w:rsidR="001026AE">
        <w:rPr>
          <w:rFonts w:asciiTheme="majorHAnsi" w:hAnsiTheme="majorHAnsi"/>
          <w:lang w:val="sr-Cyrl-CS"/>
        </w:rPr>
        <w:t>,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koja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planirana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ovom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prijedlogu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1026AE">
        <w:rPr>
          <w:rFonts w:asciiTheme="majorHAnsi" w:hAnsiTheme="majorHAnsi"/>
          <w:lang w:val="sr-Cyrl-CS"/>
        </w:rPr>
        <w:t>,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potrebna</w:t>
      </w:r>
      <w:r w:rsidR="001026AE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obavlјanje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poslova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nadležnosti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Regulatorne</w:t>
      </w:r>
      <w:r w:rsidR="001026AE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komisije</w:t>
      </w:r>
      <w:r w:rsidR="001026AE">
        <w:rPr>
          <w:rFonts w:asciiTheme="majorHAnsi" w:hAnsiTheme="majorHAnsi"/>
          <w:lang w:val="sr-Cyrl-CS"/>
        </w:rPr>
        <w:t>.</w:t>
      </w:r>
      <w:r w:rsidR="001026AE" w:rsidRPr="001026AE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Nadležnosti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precizno</w:t>
      </w:r>
      <w:r w:rsidR="001026AE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1026AE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propisane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zakonima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oblasti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energetike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to</w:t>
      </w:r>
      <w:r w:rsidR="001026AE" w:rsidRPr="00096E7C">
        <w:rPr>
          <w:rFonts w:asciiTheme="majorHAnsi" w:hAnsiTheme="majorHAnsi"/>
          <w:lang w:val="sr-Cyrl-BA"/>
        </w:rPr>
        <w:t xml:space="preserve">: </w:t>
      </w:r>
      <w:r>
        <w:rPr>
          <w:rFonts w:asciiTheme="majorHAnsi" w:hAnsiTheme="majorHAnsi" w:cs="Arial"/>
          <w:iCs/>
          <w:lang w:val="sr-Cyrl-CS"/>
        </w:rPr>
        <w:t>Zakonom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o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energetici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, </w:t>
      </w:r>
      <w:r>
        <w:rPr>
          <w:rFonts w:asciiTheme="majorHAnsi" w:hAnsiTheme="majorHAnsi" w:cs="Arial"/>
          <w:iCs/>
          <w:lang w:val="sr-Cyrl-CS"/>
        </w:rPr>
        <w:t>Zakonom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o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električnoj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energiji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(</w:t>
      </w:r>
      <w:r>
        <w:rPr>
          <w:rFonts w:asciiTheme="majorHAnsi" w:hAnsiTheme="majorHAnsi" w:cs="Arial"/>
          <w:iCs/>
          <w:lang w:val="sr-Cyrl-CS"/>
        </w:rPr>
        <w:t>Službeni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glasnik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BA"/>
        </w:rPr>
        <w:t>Republike</w:t>
      </w:r>
      <w:r w:rsidR="001026AE" w:rsidRPr="00096E7C">
        <w:rPr>
          <w:rFonts w:asciiTheme="majorHAnsi" w:hAnsiTheme="majorHAnsi" w:cs="Arial"/>
          <w:iCs/>
          <w:lang w:val="sr-Cyrl-BA"/>
        </w:rPr>
        <w:t xml:space="preserve"> </w:t>
      </w:r>
      <w:r>
        <w:rPr>
          <w:rFonts w:asciiTheme="majorHAnsi" w:hAnsiTheme="majorHAnsi" w:cs="Arial"/>
          <w:iCs/>
          <w:lang w:val="sr-Cyrl-BA"/>
        </w:rPr>
        <w:t>Srpske</w:t>
      </w:r>
      <w:r w:rsidR="001026AE" w:rsidRPr="00096E7C">
        <w:rPr>
          <w:rFonts w:asciiTheme="majorHAnsi" w:hAnsiTheme="majorHAnsi" w:cs="Arial"/>
          <w:iCs/>
          <w:lang w:val="sr-Latn-BA"/>
        </w:rPr>
        <w:t>,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broj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 w:rsidR="001026AE" w:rsidRPr="00D502F7">
        <w:rPr>
          <w:rFonts w:asciiTheme="majorHAnsi" w:hAnsiTheme="majorHAnsi" w:cs="Arial"/>
          <w:iCs/>
          <w:lang w:val="sr-Cyrl-BA"/>
        </w:rPr>
        <w:t>68/20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), </w:t>
      </w:r>
      <w:r>
        <w:rPr>
          <w:rFonts w:asciiTheme="majorHAnsi" w:hAnsiTheme="majorHAnsi" w:cs="Arial"/>
          <w:iCs/>
          <w:lang w:val="sr-Cyrl-CS"/>
        </w:rPr>
        <w:t>Zakonom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o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obnovlјivim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izvorima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energije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(</w:t>
      </w:r>
      <w:r>
        <w:rPr>
          <w:rFonts w:asciiTheme="majorHAnsi" w:hAnsiTheme="majorHAnsi" w:cs="Arial"/>
          <w:iCs/>
          <w:lang w:val="sr-Cyrl-CS"/>
        </w:rPr>
        <w:t>Službeni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glasnik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Republike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Srpske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, </w:t>
      </w:r>
      <w:r>
        <w:rPr>
          <w:rFonts w:asciiTheme="majorHAnsi" w:hAnsiTheme="majorHAnsi" w:cs="Arial"/>
          <w:iCs/>
          <w:lang w:val="sr-Cyrl-CS"/>
        </w:rPr>
        <w:t>broj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16/22), </w:t>
      </w:r>
      <w:r>
        <w:rPr>
          <w:rFonts w:asciiTheme="majorHAnsi" w:hAnsiTheme="majorHAnsi" w:cs="Arial"/>
          <w:iCs/>
          <w:lang w:val="sr-Cyrl-CS"/>
        </w:rPr>
        <w:t>Zakonom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o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gasu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(</w:t>
      </w:r>
      <w:r>
        <w:rPr>
          <w:rFonts w:asciiTheme="majorHAnsi" w:hAnsiTheme="majorHAnsi" w:cs="Arial"/>
          <w:iCs/>
          <w:lang w:val="sr-Cyrl-CS"/>
        </w:rPr>
        <w:t>Službeni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glasnik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BA"/>
        </w:rPr>
        <w:t>Republike</w:t>
      </w:r>
      <w:r w:rsidR="001026AE" w:rsidRPr="00096E7C">
        <w:rPr>
          <w:rFonts w:asciiTheme="majorHAnsi" w:hAnsiTheme="majorHAnsi" w:cs="Arial"/>
          <w:iCs/>
          <w:lang w:val="sr-Cyrl-BA"/>
        </w:rPr>
        <w:t xml:space="preserve"> </w:t>
      </w:r>
      <w:r>
        <w:rPr>
          <w:rFonts w:asciiTheme="majorHAnsi" w:hAnsiTheme="majorHAnsi" w:cs="Arial"/>
          <w:iCs/>
          <w:lang w:val="sr-Cyrl-BA"/>
        </w:rPr>
        <w:t>Srpske</w:t>
      </w:r>
      <w:r w:rsidR="001026AE" w:rsidRPr="00096E7C">
        <w:rPr>
          <w:rFonts w:asciiTheme="majorHAnsi" w:hAnsiTheme="majorHAnsi" w:cs="Arial"/>
          <w:iCs/>
          <w:lang w:val="sr-Cyrl-BA"/>
        </w:rPr>
        <w:t>,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broj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 w:rsidR="001026AE" w:rsidRPr="00096E7C">
        <w:rPr>
          <w:rFonts w:asciiTheme="majorHAnsi" w:hAnsiTheme="majorHAnsi" w:cs="Arial"/>
          <w:iCs/>
          <w:lang w:val="sr-Latn-BA"/>
        </w:rPr>
        <w:t xml:space="preserve">22/18 </w:t>
      </w:r>
      <w:r>
        <w:rPr>
          <w:rFonts w:asciiTheme="majorHAnsi" w:hAnsiTheme="majorHAnsi" w:cs="Arial"/>
          <w:iCs/>
          <w:lang w:val="sr-Cyrl-ME"/>
        </w:rPr>
        <w:t>i</w:t>
      </w:r>
      <w:r w:rsidR="001026AE" w:rsidRPr="00096E7C">
        <w:rPr>
          <w:rFonts w:asciiTheme="majorHAnsi" w:hAnsiTheme="majorHAnsi" w:cs="Arial"/>
          <w:iCs/>
          <w:lang w:val="sr-Cyrl-ME"/>
        </w:rPr>
        <w:t xml:space="preserve"> 15/21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) </w:t>
      </w:r>
      <w:r>
        <w:rPr>
          <w:rFonts w:asciiTheme="majorHAnsi" w:hAnsiTheme="majorHAnsi" w:cs="Arial"/>
          <w:iCs/>
          <w:lang w:val="sr-Cyrl-CS"/>
        </w:rPr>
        <w:t>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Zakonom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o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nafti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derivatima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nafte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(</w:t>
      </w:r>
      <w:r>
        <w:rPr>
          <w:rFonts w:asciiTheme="majorHAnsi" w:hAnsiTheme="majorHAnsi" w:cs="Arial"/>
          <w:iCs/>
          <w:lang w:val="sr-Cyrl-CS"/>
        </w:rPr>
        <w:t>Službeni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glasnik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BA"/>
        </w:rPr>
        <w:t>Republike</w:t>
      </w:r>
      <w:r w:rsidR="001026AE" w:rsidRPr="00096E7C">
        <w:rPr>
          <w:rFonts w:asciiTheme="majorHAnsi" w:hAnsiTheme="majorHAnsi" w:cs="Arial"/>
          <w:iCs/>
          <w:lang w:val="sr-Cyrl-BA"/>
        </w:rPr>
        <w:t xml:space="preserve"> </w:t>
      </w:r>
      <w:r>
        <w:rPr>
          <w:rFonts w:asciiTheme="majorHAnsi" w:hAnsiTheme="majorHAnsi" w:cs="Arial"/>
          <w:iCs/>
          <w:lang w:val="sr-Cyrl-BA"/>
        </w:rPr>
        <w:t>Srpske</w:t>
      </w:r>
      <w:r w:rsidR="001026AE" w:rsidRPr="00096E7C">
        <w:rPr>
          <w:rFonts w:asciiTheme="majorHAnsi" w:hAnsiTheme="majorHAnsi" w:cs="Arial"/>
          <w:iCs/>
          <w:lang w:val="sr-Cyrl-BA"/>
        </w:rPr>
        <w:t>,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</w:t>
      </w:r>
      <w:r>
        <w:rPr>
          <w:rFonts w:asciiTheme="majorHAnsi" w:hAnsiTheme="majorHAnsi" w:cs="Arial"/>
          <w:iCs/>
          <w:lang w:val="sr-Cyrl-CS"/>
        </w:rPr>
        <w:t>broj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36/09 </w:t>
      </w:r>
      <w:r>
        <w:rPr>
          <w:rFonts w:asciiTheme="majorHAnsi" w:hAnsiTheme="majorHAnsi" w:cs="Arial"/>
          <w:iCs/>
          <w:lang w:val="sr-Cyrl-CS"/>
        </w:rPr>
        <w:t>i</w:t>
      </w:r>
      <w:r w:rsidR="001026AE" w:rsidRPr="00096E7C">
        <w:rPr>
          <w:rFonts w:asciiTheme="majorHAnsi" w:hAnsiTheme="majorHAnsi" w:cs="Arial"/>
          <w:iCs/>
          <w:lang w:val="sr-Cyrl-CS"/>
        </w:rPr>
        <w:t xml:space="preserve"> 102/12)</w:t>
      </w:r>
      <w:r w:rsidR="001026AE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Pored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zakonske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regulative</w:t>
      </w:r>
      <w:r w:rsidR="001026AE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način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funkcionisanja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detalјno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uređen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statutom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poslovnikom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radu</w:t>
      </w:r>
      <w:r w:rsidR="001026AE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Osnovna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nadležnost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regulisanje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odnosa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tržištu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električne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energije</w:t>
      </w:r>
      <w:r w:rsidR="001026AE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prirodnog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gasa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nafte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derivata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nafte</w:t>
      </w:r>
      <w:r w:rsidR="001026AE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njen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rad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zasnovan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principima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javnosti</w:t>
      </w:r>
      <w:r w:rsidR="001026AE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pravičnosti</w:t>
      </w:r>
      <w:r w:rsidR="001026AE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podsticanj</w:t>
      </w:r>
      <w:r w:rsidR="001026AE" w:rsidRPr="00096E7C">
        <w:rPr>
          <w:rFonts w:asciiTheme="majorHAnsi" w:hAnsiTheme="majorHAnsi"/>
        </w:rPr>
        <w:t>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konkurentnosti</w:t>
      </w:r>
      <w:r w:rsidR="001026AE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zaštit</w:t>
      </w:r>
      <w:r w:rsidR="001026AE" w:rsidRPr="00096E7C">
        <w:rPr>
          <w:rFonts w:asciiTheme="majorHAnsi" w:hAnsiTheme="majorHAnsi"/>
        </w:rPr>
        <w:t>e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krajnjih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kupaca</w:t>
      </w:r>
      <w:r w:rsidR="001026AE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itd</w:t>
      </w:r>
      <w:r w:rsidR="001026AE" w:rsidRPr="00096E7C">
        <w:rPr>
          <w:rFonts w:asciiTheme="majorHAnsi" w:hAnsiTheme="majorHAnsi"/>
          <w:lang w:val="sr-Cyrl-BA"/>
        </w:rPr>
        <w:t>.</w:t>
      </w:r>
    </w:p>
    <w:p w:rsidR="0016610F" w:rsidRPr="00096E7C" w:rsidRDefault="00D502F7" w:rsidP="00D31173">
      <w:pPr>
        <w:spacing w:after="240"/>
        <w:jc w:val="both"/>
        <w:rPr>
          <w:rFonts w:asciiTheme="majorHAnsi" w:hAnsiTheme="majorHAnsi" w:cs="Arial"/>
          <w:lang w:val="sr-Cyrl-CS"/>
        </w:rPr>
      </w:pPr>
      <w:r>
        <w:rPr>
          <w:rFonts w:asciiTheme="majorHAnsi" w:hAnsiTheme="majorHAnsi" w:cs="Arial"/>
          <w:lang w:val="sr-Cyrl-CS"/>
        </w:rPr>
        <w:t>Na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osnovu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odredbe</w:t>
      </w:r>
      <w:r w:rsidR="001C1F9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člana</w:t>
      </w:r>
      <w:r w:rsidR="0016610F" w:rsidRPr="00096E7C">
        <w:rPr>
          <w:rFonts w:asciiTheme="majorHAnsi" w:hAnsiTheme="majorHAnsi" w:cs="Arial"/>
          <w:lang w:val="sr-Cyrl-CS"/>
        </w:rPr>
        <w:t xml:space="preserve"> 24. </w:t>
      </w:r>
      <w:r>
        <w:rPr>
          <w:rFonts w:asciiTheme="majorHAnsi" w:hAnsiTheme="majorHAnsi" w:cs="Arial"/>
          <w:lang w:val="sr-Cyrl-CS"/>
        </w:rPr>
        <w:t>stav</w:t>
      </w:r>
      <w:r w:rsidR="0016610F" w:rsidRPr="00096E7C">
        <w:rPr>
          <w:rFonts w:asciiTheme="majorHAnsi" w:hAnsiTheme="majorHAnsi" w:cs="Arial"/>
          <w:lang w:val="sr-Cyrl-CS"/>
        </w:rPr>
        <w:t xml:space="preserve"> 2. </w:t>
      </w:r>
      <w:r>
        <w:rPr>
          <w:rFonts w:asciiTheme="majorHAnsi" w:hAnsiTheme="majorHAnsi" w:cs="Arial"/>
          <w:lang w:val="sr-Cyrl-CS"/>
        </w:rPr>
        <w:t>Zakona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energetici</w:t>
      </w:r>
      <w:r w:rsidR="0016610F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Regulatorna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komisija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dostavlјa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prijedlog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budžeta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Narodnoj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skupštini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Republike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Srpske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koja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ga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usvaja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prije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početka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budžetske</w:t>
      </w:r>
      <w:r w:rsidR="0016610F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godine</w:t>
      </w:r>
      <w:r w:rsidR="0016610F" w:rsidRPr="00096E7C">
        <w:rPr>
          <w:rFonts w:asciiTheme="majorHAnsi" w:hAnsiTheme="majorHAnsi" w:cs="Arial"/>
          <w:lang w:val="sr-Cyrl-CS"/>
        </w:rPr>
        <w:t>.</w:t>
      </w:r>
    </w:p>
    <w:p w:rsidR="0016610F" w:rsidRPr="00096E7C" w:rsidRDefault="00D502F7" w:rsidP="00D31173">
      <w:pPr>
        <w:spacing w:after="24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CS"/>
        </w:rPr>
        <w:t>Prijedlog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Regulatorne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komisije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energetiku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Republike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Srpske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 w:rsidR="00916FC8" w:rsidRPr="00096E7C">
        <w:rPr>
          <w:rFonts w:asciiTheme="majorHAnsi" w:hAnsiTheme="majorHAnsi"/>
          <w:lang w:val="sr-Cyrl-CS"/>
        </w:rPr>
        <w:t>202</w:t>
      </w:r>
      <w:r w:rsidR="00DA76E6" w:rsidRPr="00096E7C">
        <w:rPr>
          <w:rFonts w:asciiTheme="majorHAnsi" w:hAnsiTheme="majorHAnsi"/>
          <w:lang w:val="sr-Latn-BA"/>
        </w:rPr>
        <w:t>5</w:t>
      </w:r>
      <w:r w:rsidR="0016610F" w:rsidRPr="00096E7C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sintetički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analitički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uporedni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ovih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finansijskih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pokazatelјa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usvojenog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 w:rsidR="00916FC8" w:rsidRPr="00096E7C">
        <w:rPr>
          <w:rFonts w:asciiTheme="majorHAnsi" w:hAnsiTheme="majorHAnsi"/>
          <w:lang w:val="sr-Cyrl-CS"/>
        </w:rPr>
        <w:t>202</w:t>
      </w:r>
      <w:r w:rsidR="00DA76E6" w:rsidRPr="00096E7C">
        <w:rPr>
          <w:rFonts w:asciiTheme="majorHAnsi" w:hAnsiTheme="majorHAnsi"/>
          <w:lang w:val="sr-Latn-BA"/>
        </w:rPr>
        <w:t>4</w:t>
      </w:r>
      <w:r w:rsidR="0016610F" w:rsidRPr="00096E7C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16610F" w:rsidRPr="00096E7C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Uz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tabelarni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prikaz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9404AC" w:rsidRPr="00D502F7">
        <w:rPr>
          <w:rFonts w:asciiTheme="majorHAnsi" w:hAnsiTheme="majorHAnsi"/>
          <w:lang w:val="sr-Cyrl-CS"/>
        </w:rPr>
        <w:t>,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dato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obrazloženje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svaku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pojedinačnu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stavku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koje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sadrž</w:t>
      </w:r>
      <w:r>
        <w:rPr>
          <w:rFonts w:asciiTheme="majorHAnsi" w:hAnsiTheme="majorHAnsi"/>
          <w:lang w:val="sr-Cyrl-BA"/>
        </w:rPr>
        <w:t>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način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utvrđivanja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finansijskog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stavke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razloge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eventualne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promjene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odnosu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prethodnu</w:t>
      </w:r>
      <w:r w:rsidR="0016610F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godinu</w:t>
      </w:r>
      <w:r w:rsidR="0016610F" w:rsidRPr="00096E7C">
        <w:rPr>
          <w:rFonts w:asciiTheme="majorHAnsi" w:hAnsiTheme="majorHAnsi"/>
          <w:lang w:val="sr-Cyrl-CS"/>
        </w:rPr>
        <w:t>.</w:t>
      </w:r>
    </w:p>
    <w:p w:rsidR="001026AE" w:rsidRPr="00096E7C" w:rsidRDefault="001026AE" w:rsidP="001026AE">
      <w:pPr>
        <w:spacing w:after="240"/>
        <w:jc w:val="both"/>
        <w:rPr>
          <w:rFonts w:asciiTheme="majorHAnsi" w:hAnsiTheme="majorHAnsi"/>
          <w:lang w:val="sr-Cyrl-BA"/>
        </w:rPr>
      </w:pPr>
    </w:p>
    <w:p w:rsidR="00273DFA" w:rsidRPr="00096E7C" w:rsidRDefault="0016610F" w:rsidP="00D31173">
      <w:pPr>
        <w:spacing w:after="240"/>
        <w:jc w:val="both"/>
        <w:rPr>
          <w:rFonts w:asciiTheme="majorHAnsi" w:hAnsiTheme="majorHAnsi"/>
          <w:lang w:val="sr-Cyrl-CS"/>
        </w:rPr>
      </w:pPr>
      <w:r w:rsidRPr="00096E7C">
        <w:rPr>
          <w:rFonts w:asciiTheme="majorHAnsi" w:hAnsiTheme="majorHAnsi"/>
          <w:lang w:val="sr-Cyrl-CS"/>
        </w:rPr>
        <w:t xml:space="preserve"> </w:t>
      </w: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DA76E6" w:rsidRPr="00096E7C" w:rsidRDefault="00DA76E6">
      <w:pPr>
        <w:rPr>
          <w:rFonts w:asciiTheme="majorHAnsi" w:hAnsiTheme="majorHAnsi"/>
          <w:lang w:val="sr-Cyrl-CS"/>
        </w:rPr>
      </w:pPr>
    </w:p>
    <w:p w:rsidR="00096E7C" w:rsidRPr="00096E7C" w:rsidRDefault="00D502F7" w:rsidP="00096E7C">
      <w:pPr>
        <w:pStyle w:val="Heading1"/>
        <w:numPr>
          <w:ilvl w:val="0"/>
          <w:numId w:val="2"/>
        </w:numPr>
        <w:spacing w:before="360" w:after="360"/>
        <w:jc w:val="left"/>
        <w:rPr>
          <w:rFonts w:asciiTheme="majorHAnsi" w:hAnsiTheme="majorHAnsi"/>
          <w:sz w:val="28"/>
          <w:szCs w:val="28"/>
          <w:lang w:val="sr-Cyrl-BA"/>
        </w:rPr>
      </w:pPr>
      <w:bookmarkStart w:id="38" w:name="_Toc123118148"/>
      <w:bookmarkStart w:id="39" w:name="_Toc186525896"/>
      <w:r w:rsidRPr="00D502F7">
        <w:rPr>
          <w:rFonts w:asciiTheme="majorHAnsi" w:hAnsiTheme="majorHAnsi"/>
          <w:sz w:val="28"/>
          <w:szCs w:val="28"/>
        </w:rPr>
        <w:t>PRIJEDLOG</w:t>
      </w:r>
      <w:r w:rsidR="00096E7C" w:rsidRPr="00096E7C">
        <w:rPr>
          <w:rFonts w:asciiTheme="majorHAnsi" w:hAnsiTheme="majorHAnsi"/>
          <w:sz w:val="28"/>
          <w:szCs w:val="28"/>
          <w:lang w:val="sr-Cyrl-BA"/>
        </w:rPr>
        <w:t xml:space="preserve"> </w:t>
      </w:r>
      <w:r>
        <w:rPr>
          <w:rFonts w:asciiTheme="majorHAnsi" w:hAnsiTheme="majorHAnsi"/>
          <w:sz w:val="28"/>
          <w:szCs w:val="28"/>
          <w:lang w:val="sr-Cyrl-BA"/>
        </w:rPr>
        <w:t>BUDžETA</w:t>
      </w:r>
      <w:r w:rsidR="00096E7C" w:rsidRPr="00096E7C">
        <w:rPr>
          <w:rFonts w:asciiTheme="majorHAnsi" w:hAnsiTheme="majorHAnsi"/>
          <w:sz w:val="28"/>
          <w:szCs w:val="28"/>
          <w:lang w:val="sr-Cyrl-BA"/>
        </w:rPr>
        <w:t xml:space="preserve"> </w:t>
      </w:r>
      <w:r>
        <w:rPr>
          <w:rFonts w:asciiTheme="majorHAnsi" w:hAnsiTheme="majorHAnsi"/>
          <w:sz w:val="28"/>
          <w:szCs w:val="28"/>
          <w:lang w:val="sr-Cyrl-BA"/>
        </w:rPr>
        <w:t>REGULATORNE</w:t>
      </w:r>
      <w:r w:rsidR="00096E7C" w:rsidRPr="00096E7C">
        <w:rPr>
          <w:rFonts w:asciiTheme="majorHAnsi" w:hAnsiTheme="majorHAnsi"/>
          <w:sz w:val="28"/>
          <w:szCs w:val="28"/>
          <w:lang w:val="sr-Cyrl-BA"/>
        </w:rPr>
        <w:t xml:space="preserve"> </w:t>
      </w:r>
      <w:r>
        <w:rPr>
          <w:rFonts w:asciiTheme="majorHAnsi" w:hAnsiTheme="majorHAnsi"/>
          <w:sz w:val="28"/>
          <w:szCs w:val="28"/>
          <w:lang w:val="sr-Cyrl-BA"/>
        </w:rPr>
        <w:t>KOMISIJE</w:t>
      </w:r>
      <w:r w:rsidR="00096E7C" w:rsidRPr="00096E7C">
        <w:rPr>
          <w:rFonts w:asciiTheme="majorHAnsi" w:hAnsiTheme="majorHAnsi"/>
          <w:sz w:val="28"/>
          <w:szCs w:val="28"/>
          <w:lang w:val="sr-Cyrl-BA"/>
        </w:rPr>
        <w:t xml:space="preserve"> </w:t>
      </w:r>
      <w:r>
        <w:rPr>
          <w:rFonts w:asciiTheme="majorHAnsi" w:hAnsiTheme="majorHAnsi"/>
          <w:sz w:val="28"/>
          <w:szCs w:val="28"/>
          <w:lang w:val="sr-Cyrl-BA"/>
        </w:rPr>
        <w:t>ZA</w:t>
      </w:r>
      <w:r w:rsidR="00096E7C" w:rsidRPr="00096E7C">
        <w:rPr>
          <w:rFonts w:asciiTheme="majorHAnsi" w:hAnsiTheme="majorHAnsi"/>
          <w:sz w:val="28"/>
          <w:szCs w:val="28"/>
          <w:lang w:val="sr-Cyrl-BA"/>
        </w:rPr>
        <w:t xml:space="preserve"> 2025. </w:t>
      </w:r>
      <w:r>
        <w:rPr>
          <w:rFonts w:asciiTheme="majorHAnsi" w:hAnsiTheme="majorHAnsi"/>
          <w:sz w:val="28"/>
          <w:szCs w:val="28"/>
          <w:lang w:val="sr-Cyrl-BA"/>
        </w:rPr>
        <w:t>GODINU</w:t>
      </w:r>
      <w:bookmarkEnd w:id="38"/>
      <w:bookmarkEnd w:id="39"/>
    </w:p>
    <w:p w:rsidR="00096E7C" w:rsidRPr="00096E7C" w:rsidRDefault="00096E7C" w:rsidP="00096E7C">
      <w:pPr>
        <w:pStyle w:val="Heading3"/>
        <w:tabs>
          <w:tab w:val="left" w:pos="567"/>
        </w:tabs>
        <w:rPr>
          <w:rFonts w:asciiTheme="majorHAnsi" w:hAnsiTheme="majorHAnsi"/>
          <w:sz w:val="24"/>
          <w:szCs w:val="24"/>
          <w:lang w:val="sr-Latn-BA"/>
        </w:rPr>
      </w:pPr>
      <w:bookmarkStart w:id="40" w:name="_Toc186525897"/>
      <w:r w:rsidRPr="00096E7C">
        <w:rPr>
          <w:rFonts w:asciiTheme="majorHAnsi" w:hAnsiTheme="majorHAnsi"/>
          <w:sz w:val="24"/>
          <w:szCs w:val="24"/>
          <w:lang w:val="sr-Latn-BA"/>
        </w:rPr>
        <w:t xml:space="preserve">I </w:t>
      </w:r>
      <w:r w:rsidR="00D502F7">
        <w:rPr>
          <w:rFonts w:asciiTheme="majorHAnsi" w:hAnsiTheme="majorHAnsi"/>
          <w:sz w:val="24"/>
          <w:szCs w:val="24"/>
          <w:lang w:val="sr-Latn-BA"/>
        </w:rPr>
        <w:t>PRIHODI</w:t>
      </w:r>
      <w:bookmarkEnd w:id="40"/>
    </w:p>
    <w:p w:rsidR="00096E7C" w:rsidRPr="00D502F7" w:rsidRDefault="00D502F7" w:rsidP="00096E7C">
      <w:pPr>
        <w:spacing w:before="120"/>
        <w:jc w:val="both"/>
        <w:rPr>
          <w:rFonts w:asciiTheme="majorHAnsi" w:hAnsiTheme="majorHAnsi"/>
          <w:lang w:val="sr-Latn-BA"/>
        </w:rPr>
      </w:pP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prihodi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obezbjeđuju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 w:cs="Arial"/>
          <w:lang w:val="sr-Cyrl-CS"/>
        </w:rPr>
        <w:t>godišnjih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naknada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od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energetskih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subjekata</w:t>
      </w:r>
      <w:r w:rsidR="001026AE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korisnika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dozvole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za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obavlјanje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jedne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ili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više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energetskih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djelatnosti</w:t>
      </w:r>
      <w:r w:rsidR="001026AE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jednokratnih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naknada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za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postupke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koje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sprovodi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po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zahtjevima</w:t>
      </w:r>
      <w:r w:rsidR="001026AE" w:rsidRPr="00096E7C">
        <w:rPr>
          <w:rFonts w:asciiTheme="majorHAnsi" w:hAnsiTheme="majorHAnsi" w:cs="Arial"/>
          <w:lang w:val="sr-Cyrl-CS"/>
        </w:rPr>
        <w:t xml:space="preserve">, </w:t>
      </w:r>
      <w:r>
        <w:rPr>
          <w:rFonts w:asciiTheme="majorHAnsi" w:hAnsiTheme="majorHAnsi" w:cs="Arial"/>
          <w:lang w:val="sr-Cyrl-CS"/>
        </w:rPr>
        <w:t>kao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iz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drugih</w:t>
      </w:r>
      <w:r w:rsidR="001026AE" w:rsidRPr="00096E7C">
        <w:rPr>
          <w:rFonts w:asciiTheme="majorHAnsi" w:hAnsiTheme="majorHAnsi" w:cs="Arial"/>
          <w:lang w:val="sr-Cyrl-CS"/>
        </w:rPr>
        <w:t xml:space="preserve"> </w:t>
      </w:r>
      <w:r>
        <w:rPr>
          <w:rFonts w:asciiTheme="majorHAnsi" w:hAnsiTheme="majorHAnsi" w:cs="Arial"/>
          <w:lang w:val="sr-Cyrl-CS"/>
        </w:rPr>
        <w:t>izvora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koji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omogućava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pokrivanje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>.</w:t>
      </w:r>
      <w:r w:rsidR="00096E7C" w:rsidRPr="00D502F7">
        <w:rPr>
          <w:rFonts w:asciiTheme="majorHAnsi" w:hAnsiTheme="majorHAnsi"/>
          <w:lang w:val="sr-Latn-BA"/>
        </w:rPr>
        <w:t xml:space="preserve">  </w:t>
      </w:r>
    </w:p>
    <w:p w:rsidR="00096E7C" w:rsidRPr="00096E7C" w:rsidRDefault="00D502F7" w:rsidP="00096E7C">
      <w:pPr>
        <w:spacing w:before="120"/>
        <w:jc w:val="both"/>
        <w:rPr>
          <w:rFonts w:asciiTheme="majorHAnsi" w:hAnsiTheme="majorHAnsi"/>
          <w:lang w:val="sr-Cyrl-CS"/>
        </w:rPr>
      </w:pPr>
      <w:r w:rsidRPr="00D502F7">
        <w:rPr>
          <w:rFonts w:asciiTheme="majorHAnsi" w:hAnsiTheme="majorHAnsi"/>
          <w:lang w:val="sr-Latn-BA"/>
        </w:rPr>
        <w:t>P</w:t>
      </w:r>
      <w:r>
        <w:rPr>
          <w:rFonts w:asciiTheme="majorHAnsi" w:hAnsiTheme="majorHAnsi"/>
          <w:lang w:val="sr-Latn-CS"/>
        </w:rPr>
        <w:t>rijedlog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Cyrl-CS"/>
        </w:rPr>
        <w:t>b</w:t>
      </w:r>
      <w:r>
        <w:rPr>
          <w:rFonts w:asciiTheme="majorHAnsi" w:hAnsiTheme="majorHAnsi"/>
          <w:lang w:val="sr-Latn-CS"/>
        </w:rPr>
        <w:t>udžeta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Regulat</w:t>
      </w:r>
      <w:r>
        <w:rPr>
          <w:rFonts w:asciiTheme="majorHAnsi" w:hAnsiTheme="majorHAnsi"/>
          <w:lang w:val="sr-Cyrl-BA"/>
        </w:rPr>
        <w:t>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Latn-CS"/>
        </w:rPr>
        <w:t>za</w:t>
      </w:r>
      <w:r w:rsidR="00096E7C" w:rsidRPr="00096E7C">
        <w:rPr>
          <w:rFonts w:asciiTheme="majorHAnsi" w:hAnsiTheme="majorHAnsi"/>
          <w:lang w:val="sr-Latn-CS"/>
        </w:rPr>
        <w:t xml:space="preserve"> 2025.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godinu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ura</w:t>
      </w:r>
      <w:r>
        <w:rPr>
          <w:rFonts w:asciiTheme="majorHAnsi" w:hAnsiTheme="majorHAnsi"/>
          <w:lang w:val="sr-Latn-BA"/>
        </w:rPr>
        <w:t>đ</w:t>
      </w:r>
      <w:r>
        <w:rPr>
          <w:rFonts w:asciiTheme="majorHAnsi" w:hAnsiTheme="majorHAnsi"/>
          <w:lang w:val="sr-Cyrl-BA"/>
        </w:rPr>
        <w:t>en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osnovu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ostvarenja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budžeta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4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aktivnosti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5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godini</w:t>
      </w:r>
      <w:r w:rsidR="001D3B2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1D3B2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cilјu</w:t>
      </w:r>
      <w:r w:rsidR="001D3B2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sprovođenja</w:t>
      </w:r>
      <w:r w:rsidR="001D3B2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zakonom</w:t>
      </w:r>
      <w:r w:rsidR="001D3B2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propisanih</w:t>
      </w:r>
      <w:r w:rsidR="001D3B29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nadležnosti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CS"/>
        </w:rPr>
        <w:t>Prijedlogom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6E7C" w:rsidRPr="00096E7C">
        <w:rPr>
          <w:rFonts w:asciiTheme="majorHAnsi" w:hAnsiTheme="majorHAnsi"/>
          <w:lang w:val="sr-Cyrl-CS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5</w:t>
      </w:r>
      <w:r w:rsidR="00096E7C" w:rsidRPr="00096E7C">
        <w:rPr>
          <w:rFonts w:asciiTheme="majorHAnsi" w:hAnsiTheme="majorHAnsi"/>
          <w:lang w:val="sr-Cyrl-CS"/>
        </w:rPr>
        <w:t xml:space="preserve">. </w:t>
      </w:r>
      <w:r>
        <w:rPr>
          <w:rFonts w:asciiTheme="majorHAnsi" w:hAnsiTheme="majorHAnsi"/>
          <w:lang w:val="sr-Cyrl-CS"/>
        </w:rPr>
        <w:t>godinu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BA"/>
        </w:rPr>
        <w:t>smanjenje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potrebnog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prihoda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shd w:val="clear" w:color="auto" w:fill="FFFFFF" w:themeFill="background1"/>
          <w:lang w:val="sr-Cyrl-CS"/>
        </w:rPr>
        <w:t>za</w:t>
      </w:r>
      <w:r w:rsidR="00096E7C" w:rsidRPr="00096E7C">
        <w:rPr>
          <w:rFonts w:asciiTheme="majorHAnsi" w:hAnsiTheme="majorHAnsi"/>
          <w:shd w:val="clear" w:color="auto" w:fill="FFFFFF" w:themeFill="background1"/>
          <w:lang w:val="sr-Cyrl-CS"/>
        </w:rPr>
        <w:t xml:space="preserve"> </w:t>
      </w:r>
      <w:r w:rsidR="00096E7C" w:rsidRPr="00096E7C">
        <w:rPr>
          <w:rFonts w:asciiTheme="majorHAnsi" w:hAnsiTheme="majorHAnsi"/>
          <w:lang w:val="sr-Latn-BA"/>
        </w:rPr>
        <w:t>0</w:t>
      </w:r>
      <w:r w:rsidR="00096E7C" w:rsidRPr="00D502F7">
        <w:rPr>
          <w:rFonts w:asciiTheme="majorHAnsi" w:hAnsiTheme="majorHAnsi"/>
          <w:lang w:val="sr-Cyrl-BA"/>
        </w:rPr>
        <w:t>,</w:t>
      </w:r>
      <w:r w:rsidR="00096E7C" w:rsidRPr="00096E7C">
        <w:rPr>
          <w:rFonts w:asciiTheme="majorHAnsi" w:hAnsiTheme="majorHAnsi"/>
          <w:lang w:val="sr-Latn-BA"/>
        </w:rPr>
        <w:t>42</w:t>
      </w:r>
      <w:r w:rsidR="00096E7C" w:rsidRPr="00096E7C">
        <w:rPr>
          <w:rFonts w:asciiTheme="majorHAnsi" w:hAnsiTheme="majorHAnsi"/>
          <w:lang w:val="sr-Cyrl-CS"/>
        </w:rPr>
        <w:t xml:space="preserve">%, </w:t>
      </w:r>
      <w:r>
        <w:rPr>
          <w:rFonts w:asciiTheme="majorHAnsi" w:hAnsiTheme="majorHAnsi"/>
          <w:lang w:val="sr-Cyrl-CS"/>
        </w:rPr>
        <w:t>koliko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iznosi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smanjenje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planiranih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narednoj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kako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predstavlјeno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sumarno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tabelama</w:t>
      </w:r>
      <w:r w:rsidR="00096E7C" w:rsidRPr="00096E7C">
        <w:rPr>
          <w:rFonts w:asciiTheme="majorHAnsi" w:hAnsiTheme="majorHAnsi"/>
          <w:lang w:val="sr-Cyrl-CS"/>
        </w:rPr>
        <w:t xml:space="preserve">: </w:t>
      </w:r>
    </w:p>
    <w:p w:rsidR="00096E7C" w:rsidRPr="00096E7C" w:rsidRDefault="00D502F7" w:rsidP="00096E7C">
      <w:pPr>
        <w:spacing w:before="1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Tabela</w:t>
      </w:r>
      <w:r w:rsidR="00096E7C" w:rsidRPr="00096E7C">
        <w:rPr>
          <w:rFonts w:asciiTheme="majorHAnsi" w:hAnsiTheme="majorHAnsi"/>
          <w:lang w:val="sr-Cyrl-BA"/>
        </w:rPr>
        <w:t xml:space="preserve"> 1. </w:t>
      </w:r>
      <w:r>
        <w:rPr>
          <w:rFonts w:asciiTheme="majorHAnsi" w:hAnsiTheme="majorHAnsi"/>
          <w:lang w:val="sr-Cyrl-BA"/>
        </w:rPr>
        <w:t>Potreban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prihod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2025. </w:t>
      </w:r>
      <w:r>
        <w:rPr>
          <w:rFonts w:asciiTheme="majorHAnsi" w:hAnsiTheme="majorHAnsi"/>
          <w:lang w:val="sr-Cyrl-BA"/>
        </w:rPr>
        <w:t>godini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879"/>
        <w:gridCol w:w="3794"/>
        <w:gridCol w:w="1163"/>
        <w:gridCol w:w="1226"/>
        <w:gridCol w:w="1071"/>
        <w:gridCol w:w="1218"/>
      </w:tblGrid>
      <w:tr w:rsidR="00096E7C" w:rsidRPr="00096E7C" w:rsidTr="002C3194">
        <w:trPr>
          <w:trHeight w:val="442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Redni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br/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broj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PRIHODI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Budžet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za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2024.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Budžet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za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2025.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Učešće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Indeks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2025/2024</w:t>
            </w:r>
          </w:p>
        </w:tc>
      </w:tr>
      <w:tr w:rsidR="00096E7C" w:rsidRPr="00096E7C" w:rsidTr="002C3194">
        <w:trPr>
          <w:trHeight w:val="676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1.</w:t>
            </w: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Prihodi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od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regulatornih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naknada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od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korisnika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dozvola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za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obavl</w:t>
            </w:r>
            <w:r>
              <w:rPr>
                <w:rFonts w:asciiTheme="majorHAnsi" w:hAnsiTheme="majorHAnsi" w:cs="Calibri"/>
                <w:bCs/>
                <w:sz w:val="20"/>
                <w:szCs w:val="20"/>
                <w:lang w:val="ru-RU"/>
              </w:rPr>
              <w:t>ј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anje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>e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nergetskih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djelatnosti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2.901.327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2.889.244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99,96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99,58</w:t>
            </w:r>
          </w:p>
        </w:tc>
      </w:tr>
      <w:tr w:rsidR="00096E7C" w:rsidRPr="00096E7C" w:rsidTr="002C3194">
        <w:trPr>
          <w:trHeight w:val="4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2.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Prihodi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od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jednokratnih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naknada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ostali</w:t>
            </w:r>
            <w:r w:rsidR="00096E7C" w:rsidRPr="00D502F7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sz w:val="20"/>
                <w:szCs w:val="20"/>
              </w:rPr>
              <w:t>prihodi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1.200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2C3194">
        <w:trPr>
          <w:trHeight w:val="26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UKUPNO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2.902.527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2.890.444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00"/>
                <w:sz w:val="20"/>
                <w:szCs w:val="20"/>
              </w:rPr>
            </w:pPr>
            <w:r w:rsidRPr="002C3194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99,58</w:t>
            </w:r>
          </w:p>
        </w:tc>
      </w:tr>
    </w:tbl>
    <w:p w:rsidR="00096E7C" w:rsidRPr="00096E7C" w:rsidRDefault="00096E7C" w:rsidP="00096E7C">
      <w:pPr>
        <w:spacing w:before="120"/>
        <w:jc w:val="both"/>
        <w:rPr>
          <w:rFonts w:asciiTheme="majorHAnsi" w:hAnsiTheme="majorHAnsi"/>
          <w:lang w:val="sr-Cyrl-BA"/>
        </w:rPr>
      </w:pPr>
    </w:p>
    <w:p w:rsidR="00096E7C" w:rsidRPr="00096E7C" w:rsidRDefault="00D502F7" w:rsidP="00096E7C">
      <w:pPr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Tabela</w:t>
      </w:r>
      <w:r w:rsidR="00096E7C" w:rsidRPr="00096E7C">
        <w:rPr>
          <w:rFonts w:asciiTheme="majorHAnsi" w:hAnsiTheme="majorHAnsi"/>
          <w:lang w:val="sr-Cyrl-BA"/>
        </w:rPr>
        <w:t xml:space="preserve"> 2. </w:t>
      </w:r>
      <w:r>
        <w:rPr>
          <w:rFonts w:asciiTheme="majorHAnsi" w:hAnsiTheme="majorHAnsi"/>
          <w:lang w:val="sr-Cyrl-BA"/>
        </w:rPr>
        <w:t>Sintetički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prikaza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rashoda</w:t>
      </w:r>
      <w:r w:rsidR="00096E7C" w:rsidRPr="00096E7C">
        <w:rPr>
          <w:rFonts w:asciiTheme="majorHAnsi" w:hAnsiTheme="majorHAnsi"/>
          <w:lang w:val="sr-Cyrl-BA"/>
        </w:rPr>
        <w:t xml:space="preserve"> 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2025. </w:t>
      </w:r>
      <w:r>
        <w:rPr>
          <w:rFonts w:asciiTheme="majorHAnsi" w:hAnsiTheme="majorHAnsi"/>
          <w:lang w:val="sr-Cyrl-BA"/>
        </w:rPr>
        <w:t>godini</w:t>
      </w: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877"/>
        <w:gridCol w:w="3943"/>
        <w:gridCol w:w="1161"/>
        <w:gridCol w:w="1224"/>
        <w:gridCol w:w="982"/>
        <w:gridCol w:w="1200"/>
      </w:tblGrid>
      <w:tr w:rsidR="00096E7C" w:rsidRPr="00096E7C" w:rsidTr="002C3194">
        <w:trPr>
          <w:trHeight w:val="487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Redni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br/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broj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RASHODI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Budžet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za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2024.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Budžet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za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2025.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Učešće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Indeks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2025/2024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1.</w:t>
            </w: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TEKUĆI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2.721.424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2.787.410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102,42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materijala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,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goriva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energije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92.500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92.500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3,32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100,00</w:t>
            </w:r>
          </w:p>
        </w:tc>
      </w:tr>
      <w:tr w:rsidR="00096E7C" w:rsidRPr="00096E7C" w:rsidTr="002C3194">
        <w:trPr>
          <w:trHeight w:val="473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plata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,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naknada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plata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ostalih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ličnih</w:t>
            </w:r>
            <w:r w:rsidR="00096E7C"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color w:val="000000"/>
                <w:sz w:val="20"/>
                <w:szCs w:val="20"/>
              </w:rPr>
              <w:t>primanja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2.357.000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2.437.000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87,43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103,39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proizvodnih</w:t>
            </w:r>
            <w:r w:rsidR="00096E7C"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usluga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68.800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76.800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2,76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111,63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amortizacije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86.000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70.000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2,51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81,40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Nematerijalni</w:t>
            </w:r>
            <w:r w:rsidR="00096E7C"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troškovi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107.500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111.000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3,98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103,26</w:t>
            </w:r>
          </w:p>
        </w:tc>
      </w:tr>
      <w:tr w:rsidR="00096E7C" w:rsidRPr="00096E7C" w:rsidTr="002C3194">
        <w:trPr>
          <w:trHeight w:val="278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Rashodi</w:t>
            </w:r>
            <w:r w:rsidR="00096E7C"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kamata</w:t>
            </w:r>
            <w:r w:rsidR="00096E7C"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9.624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1,14</w:t>
            </w:r>
          </w:p>
        </w:tc>
      </w:tr>
    </w:tbl>
    <w:p w:rsidR="00096E7C" w:rsidRPr="00096E7C" w:rsidRDefault="00096E7C" w:rsidP="00096E7C">
      <w:pPr>
        <w:jc w:val="both"/>
        <w:rPr>
          <w:rFonts w:asciiTheme="majorHAnsi" w:hAnsiTheme="majorHAnsi"/>
          <w:lang w:val="sr-Cyrl-BA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877"/>
        <w:gridCol w:w="3943"/>
        <w:gridCol w:w="1161"/>
        <w:gridCol w:w="1224"/>
        <w:gridCol w:w="985"/>
        <w:gridCol w:w="1166"/>
      </w:tblGrid>
      <w:tr w:rsidR="00096E7C" w:rsidRPr="00096E7C" w:rsidTr="002C3194">
        <w:trPr>
          <w:trHeight w:val="274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</w:t>
            </w:r>
          </w:p>
        </w:tc>
        <w:tc>
          <w:tcPr>
            <w:tcW w:w="3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INVESTICIONA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ULAGANјA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* 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267.103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103.034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3,56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38,57</w:t>
            </w:r>
          </w:p>
        </w:tc>
      </w:tr>
      <w:tr w:rsidR="00096E7C" w:rsidRPr="00096E7C" w:rsidTr="002C3194">
        <w:trPr>
          <w:trHeight w:val="274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Nematerijalna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sredstva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11.000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11.000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100,00</w:t>
            </w:r>
          </w:p>
        </w:tc>
      </w:tr>
      <w:tr w:rsidR="00096E7C" w:rsidRPr="00096E7C" w:rsidTr="002C3194">
        <w:trPr>
          <w:trHeight w:val="274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Oprema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70.000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096E7C" w:rsidRPr="00096E7C" w:rsidTr="002C3194">
        <w:trPr>
          <w:trHeight w:val="48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sz w:val="20"/>
                <w:szCs w:val="20"/>
              </w:rPr>
              <w:t>Dio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anuiteta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koji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se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odnosi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na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glavnicu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kredita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256.103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22.034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0,76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096E7C">
              <w:rPr>
                <w:rFonts w:asciiTheme="majorHAnsi" w:hAnsiTheme="majorHAnsi" w:cs="Calibri"/>
                <w:color w:val="000000"/>
                <w:sz w:val="22"/>
                <w:szCs w:val="22"/>
              </w:rPr>
              <w:t>8,60</w:t>
            </w:r>
          </w:p>
        </w:tc>
      </w:tr>
      <w:tr w:rsidR="00096E7C" w:rsidRPr="00096E7C" w:rsidTr="002C3194">
        <w:trPr>
          <w:trHeight w:val="274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3.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UKUPNI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RASHODI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: (1+2-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amortizacija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2.902.527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2.890.444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99,58</w:t>
            </w:r>
          </w:p>
        </w:tc>
      </w:tr>
    </w:tbl>
    <w:p w:rsidR="00096E7C" w:rsidRPr="00096E7C" w:rsidRDefault="00096E7C" w:rsidP="00096E7C">
      <w:pPr>
        <w:tabs>
          <w:tab w:val="left" w:pos="0"/>
        </w:tabs>
        <w:jc w:val="both"/>
        <w:rPr>
          <w:rFonts w:asciiTheme="majorHAnsi" w:hAnsiTheme="majorHAnsi"/>
          <w:lang w:val="sr-Cyrl-CS"/>
        </w:rPr>
      </w:pPr>
    </w:p>
    <w:p w:rsidR="00096E7C" w:rsidRPr="00096E7C" w:rsidRDefault="00D502F7" w:rsidP="00096E7C">
      <w:pPr>
        <w:tabs>
          <w:tab w:val="left" w:pos="0"/>
        </w:tabs>
        <w:jc w:val="both"/>
        <w:rPr>
          <w:rFonts w:asciiTheme="majorHAnsi" w:hAnsiTheme="majorHAnsi"/>
          <w:lang w:val="bs-Latn-BA"/>
        </w:rPr>
      </w:pPr>
      <w:r>
        <w:rPr>
          <w:rFonts w:asciiTheme="majorHAnsi" w:hAnsiTheme="majorHAnsi"/>
          <w:lang w:val="sr-Cyrl-CS"/>
        </w:rPr>
        <w:t>Prijedlogom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6E7C" w:rsidRPr="00096E7C">
        <w:rPr>
          <w:rFonts w:asciiTheme="majorHAnsi" w:hAnsiTheme="majorHAnsi"/>
          <w:lang w:val="sr-Cyrl-CS"/>
        </w:rPr>
        <w:t xml:space="preserve"> 2025. </w:t>
      </w:r>
      <w:r>
        <w:rPr>
          <w:rFonts w:asciiTheme="majorHAnsi" w:hAnsiTheme="majorHAnsi"/>
          <w:lang w:val="sr-Cyrl-CS"/>
        </w:rPr>
        <w:t>godinu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smanjenje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ukupnih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rashoda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 w:rsidR="00096E7C" w:rsidRPr="00096E7C">
        <w:rPr>
          <w:rFonts w:asciiTheme="majorHAnsi" w:hAnsiTheme="majorHAnsi"/>
          <w:lang w:val="sr-Latn-BA"/>
        </w:rPr>
        <w:t>0</w:t>
      </w:r>
      <w:r w:rsidR="00096E7C" w:rsidRPr="00D502F7">
        <w:rPr>
          <w:rFonts w:asciiTheme="majorHAnsi" w:hAnsiTheme="majorHAnsi"/>
          <w:lang w:val="sr-Cyrl-CS"/>
        </w:rPr>
        <w:t>,</w:t>
      </w:r>
      <w:r w:rsidR="00096E7C" w:rsidRPr="00096E7C">
        <w:rPr>
          <w:rFonts w:asciiTheme="majorHAnsi" w:hAnsiTheme="majorHAnsi"/>
          <w:lang w:val="sr-Latn-BA"/>
        </w:rPr>
        <w:t>42</w:t>
      </w:r>
      <w:r w:rsidR="00096E7C" w:rsidRPr="00096E7C">
        <w:rPr>
          <w:rFonts w:asciiTheme="majorHAnsi" w:hAnsiTheme="majorHAnsi"/>
          <w:lang w:val="sr-Cyrl-CS"/>
        </w:rPr>
        <w:t xml:space="preserve">%, </w:t>
      </w:r>
      <w:r>
        <w:rPr>
          <w:rFonts w:asciiTheme="majorHAnsi" w:hAnsiTheme="majorHAnsi"/>
          <w:lang w:val="sr-Cyrl-CS"/>
        </w:rPr>
        <w:t>Rashodi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podijelјeni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dvije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kategorije</w:t>
      </w:r>
      <w:r w:rsidR="00096E7C" w:rsidRPr="00096E7C">
        <w:rPr>
          <w:rFonts w:asciiTheme="majorHAnsi" w:hAnsiTheme="majorHAnsi"/>
          <w:lang w:val="sr-Cyrl-CS"/>
        </w:rPr>
        <w:t xml:space="preserve">: </w:t>
      </w:r>
      <w:r>
        <w:rPr>
          <w:rFonts w:asciiTheme="majorHAnsi" w:hAnsiTheme="majorHAnsi"/>
          <w:lang w:val="sr-Cyrl-CS"/>
        </w:rPr>
        <w:t>tekuće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troškove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investiciona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ulaganja</w:t>
      </w:r>
      <w:r w:rsidR="00096E7C" w:rsidRPr="00096E7C">
        <w:rPr>
          <w:rFonts w:asciiTheme="majorHAnsi" w:hAnsiTheme="majorHAnsi"/>
          <w:lang w:val="sr-Cyrl-CS"/>
        </w:rPr>
        <w:t>.</w:t>
      </w:r>
    </w:p>
    <w:p w:rsidR="00096E7C" w:rsidRPr="00096E7C" w:rsidRDefault="00096E7C" w:rsidP="00096E7C">
      <w:pPr>
        <w:rPr>
          <w:rFonts w:asciiTheme="majorHAnsi" w:hAnsiTheme="majorHAnsi"/>
          <w:lang w:val="bs-Latn-BA"/>
        </w:rPr>
      </w:pPr>
    </w:p>
    <w:p w:rsidR="00096E7C" w:rsidRPr="00096E7C" w:rsidRDefault="00096E7C" w:rsidP="00096E7C">
      <w:pPr>
        <w:pStyle w:val="Heading3"/>
        <w:tabs>
          <w:tab w:val="left" w:pos="567"/>
        </w:tabs>
        <w:rPr>
          <w:rFonts w:asciiTheme="majorHAnsi" w:hAnsiTheme="majorHAnsi"/>
          <w:sz w:val="24"/>
          <w:szCs w:val="24"/>
          <w:lang w:val="sr-Latn-BA"/>
        </w:rPr>
      </w:pPr>
      <w:bookmarkStart w:id="41" w:name="_Toc186525898"/>
      <w:bookmarkStart w:id="42" w:name="_Toc182978459"/>
      <w:bookmarkStart w:id="43" w:name="_Toc213819810"/>
      <w:bookmarkStart w:id="44" w:name="_Toc245551591"/>
      <w:bookmarkStart w:id="45" w:name="_Toc405462046"/>
      <w:bookmarkStart w:id="46" w:name="_Toc434497739"/>
      <w:bookmarkStart w:id="47" w:name="_Toc533144506"/>
      <w:bookmarkStart w:id="48" w:name="_Toc60219162"/>
      <w:bookmarkStart w:id="49" w:name="_Toc123118154"/>
      <w:r w:rsidRPr="00096E7C">
        <w:rPr>
          <w:rFonts w:asciiTheme="majorHAnsi" w:hAnsiTheme="majorHAnsi"/>
          <w:sz w:val="24"/>
          <w:szCs w:val="24"/>
          <w:lang w:val="sr-Latn-BA"/>
        </w:rPr>
        <w:t xml:space="preserve">II </w:t>
      </w:r>
      <w:r w:rsidR="00D502F7">
        <w:rPr>
          <w:rFonts w:asciiTheme="majorHAnsi" w:hAnsiTheme="majorHAnsi"/>
          <w:sz w:val="24"/>
          <w:szCs w:val="24"/>
          <w:lang w:val="sr-Latn-BA"/>
        </w:rPr>
        <w:t>R</w:t>
      </w:r>
      <w:r w:rsidR="00D502F7">
        <w:rPr>
          <w:rFonts w:asciiTheme="majorHAnsi" w:hAnsiTheme="majorHAnsi"/>
          <w:sz w:val="24"/>
          <w:szCs w:val="24"/>
          <w:lang w:val="sr-Cyrl-BA"/>
        </w:rPr>
        <w:t>ASHODI</w:t>
      </w:r>
      <w:bookmarkEnd w:id="41"/>
    </w:p>
    <w:p w:rsidR="00096E7C" w:rsidRDefault="00D502F7" w:rsidP="00096E7C">
      <w:pPr>
        <w:pStyle w:val="Heading3"/>
        <w:tabs>
          <w:tab w:val="left" w:pos="567"/>
        </w:tabs>
        <w:spacing w:after="120"/>
        <w:rPr>
          <w:rFonts w:asciiTheme="majorHAnsi" w:hAnsiTheme="majorHAnsi"/>
          <w:i/>
          <w:sz w:val="24"/>
          <w:szCs w:val="24"/>
          <w:lang w:val="sr-Latn-BA"/>
        </w:rPr>
      </w:pPr>
      <w:bookmarkStart w:id="50" w:name="_Toc186525899"/>
      <w:r>
        <w:rPr>
          <w:rFonts w:asciiTheme="majorHAnsi" w:hAnsiTheme="majorHAnsi"/>
          <w:i/>
          <w:sz w:val="24"/>
          <w:szCs w:val="24"/>
          <w:lang w:val="sr-Latn-BA"/>
        </w:rPr>
        <w:t>A</w:t>
      </w:r>
      <w:r w:rsidR="00096E7C" w:rsidRPr="00096E7C">
        <w:rPr>
          <w:rFonts w:asciiTheme="majorHAnsi" w:hAnsiTheme="majorHAnsi"/>
          <w:i/>
          <w:sz w:val="24"/>
          <w:szCs w:val="24"/>
          <w:lang w:val="sr-Latn-BA"/>
        </w:rPr>
        <w:t xml:space="preserve">. </w:t>
      </w:r>
      <w:bookmarkEnd w:id="42"/>
      <w:bookmarkEnd w:id="43"/>
      <w:r>
        <w:rPr>
          <w:rFonts w:asciiTheme="majorHAnsi" w:hAnsiTheme="majorHAnsi"/>
          <w:i/>
          <w:sz w:val="24"/>
          <w:szCs w:val="24"/>
          <w:lang w:val="sr-Latn-BA"/>
        </w:rPr>
        <w:t>TEKUĆI</w:t>
      </w:r>
      <w:r w:rsidR="00096E7C" w:rsidRPr="00096E7C">
        <w:rPr>
          <w:rFonts w:asciiTheme="majorHAnsi" w:hAnsiTheme="majorHAnsi"/>
          <w:i/>
          <w:sz w:val="24"/>
          <w:szCs w:val="24"/>
          <w:lang w:val="sr-Latn-BA"/>
        </w:rPr>
        <w:t xml:space="preserve"> </w:t>
      </w:r>
      <w:r>
        <w:rPr>
          <w:rFonts w:asciiTheme="majorHAnsi" w:hAnsiTheme="majorHAnsi"/>
          <w:i/>
          <w:sz w:val="24"/>
          <w:szCs w:val="24"/>
          <w:lang w:val="sr-Latn-BA"/>
        </w:rPr>
        <w:t>TROŠKOVI</w:t>
      </w:r>
      <w:bookmarkEnd w:id="44"/>
      <w:bookmarkEnd w:id="45"/>
      <w:bookmarkEnd w:id="46"/>
      <w:bookmarkEnd w:id="47"/>
      <w:bookmarkEnd w:id="48"/>
      <w:bookmarkEnd w:id="49"/>
      <w:bookmarkEnd w:id="50"/>
    </w:p>
    <w:p w:rsidR="00096E7C" w:rsidRPr="00096E7C" w:rsidRDefault="00096E7C" w:rsidP="00096E7C">
      <w:pPr>
        <w:rPr>
          <w:lang w:val="sr-Latn-BA"/>
        </w:rPr>
      </w:pPr>
    </w:p>
    <w:p w:rsidR="00096E7C" w:rsidRPr="00D502F7" w:rsidRDefault="00D502F7" w:rsidP="00096E7C">
      <w:pPr>
        <w:spacing w:after="240"/>
        <w:jc w:val="both"/>
        <w:rPr>
          <w:rFonts w:asciiTheme="majorHAnsi" w:hAnsiTheme="majorHAnsi"/>
        </w:rPr>
      </w:pPr>
      <w:bookmarkStart w:id="51" w:name="_Toc182978460"/>
      <w:bookmarkStart w:id="52" w:name="_Toc213819811"/>
      <w:bookmarkStart w:id="53" w:name="_Toc245551592"/>
      <w:bookmarkStart w:id="54" w:name="_Toc405462047"/>
      <w:bookmarkStart w:id="55" w:name="_Toc434497740"/>
      <w:r>
        <w:rPr>
          <w:rFonts w:asciiTheme="majorHAnsi" w:hAnsiTheme="majorHAnsi"/>
          <w:lang w:val="sr-Latn-BA"/>
        </w:rPr>
        <w:t>Tekući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Latn-BA"/>
        </w:rPr>
        <w:t>troškovi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Latn-BA"/>
        </w:rPr>
        <w:t>obuhvataju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BA"/>
        </w:rPr>
        <w:t>sv</w:t>
      </w:r>
      <w:r>
        <w:rPr>
          <w:rFonts w:asciiTheme="majorHAnsi" w:hAnsiTheme="majorHAnsi"/>
          <w:lang w:val="sr-Latn-CS"/>
        </w:rPr>
        <w:t>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rashod</w:t>
      </w:r>
      <w:r>
        <w:rPr>
          <w:rFonts w:asciiTheme="majorHAnsi" w:hAnsiTheme="majorHAnsi"/>
          <w:lang w:val="sr-Latn-BA"/>
        </w:rPr>
        <w:t>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izda</w:t>
      </w:r>
      <w:r>
        <w:rPr>
          <w:rFonts w:asciiTheme="majorHAnsi" w:hAnsiTheme="majorHAnsi"/>
          <w:lang w:val="sr-Latn-BA"/>
        </w:rPr>
        <w:t>tke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koji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nastaju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obavlјanjem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aktivnosti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To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materijala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plata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naknada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ostalih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ličnih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primanja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proizvodnih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usluga</w:t>
      </w:r>
      <w:r w:rsidR="00096E7C" w:rsidRPr="00096E7C">
        <w:rPr>
          <w:rFonts w:asciiTheme="majorHAnsi" w:hAnsiTheme="majorHAnsi"/>
          <w:lang w:val="sr-Cyrl-BA"/>
        </w:rPr>
        <w:t>,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BA"/>
        </w:rPr>
        <w:t>amortizacije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nematerijalni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ru-RU"/>
        </w:rPr>
        <w:t>ugovorene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obaveze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slično</w:t>
      </w:r>
      <w:r w:rsidR="00096E7C" w:rsidRPr="00D502F7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ru-RU"/>
        </w:rPr>
        <w:t>Planirano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povećanje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ru-RU"/>
        </w:rPr>
        <w:t>teku</w:t>
      </w:r>
      <w:r w:rsidRPr="00D502F7">
        <w:rPr>
          <w:rFonts w:asciiTheme="majorHAnsi" w:hAnsiTheme="majorHAnsi"/>
          <w:lang w:val="sr-Cyrl-BA"/>
        </w:rPr>
        <w:t>ć</w:t>
      </w:r>
      <w:r>
        <w:rPr>
          <w:rFonts w:asciiTheme="majorHAnsi" w:hAnsiTheme="majorHAnsi"/>
          <w:lang w:val="ru-RU"/>
        </w:rPr>
        <w:t>ih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tro</w:t>
      </w:r>
      <w:r w:rsidRPr="00D502F7">
        <w:rPr>
          <w:rFonts w:asciiTheme="majorHAnsi" w:hAnsiTheme="majorHAnsi"/>
          <w:lang w:val="sr-Cyrl-BA"/>
        </w:rPr>
        <w:t>š</w:t>
      </w:r>
      <w:r>
        <w:rPr>
          <w:rFonts w:asciiTheme="majorHAnsi" w:hAnsiTheme="majorHAnsi"/>
          <w:lang w:val="ru-RU"/>
        </w:rPr>
        <w:t>kova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u</w:t>
      </w:r>
      <w:r w:rsidR="00096E7C" w:rsidRPr="00D502F7">
        <w:rPr>
          <w:rFonts w:asciiTheme="majorHAnsi" w:hAnsiTheme="majorHAnsi"/>
          <w:lang w:val="sr-Cyrl-BA"/>
        </w:rPr>
        <w:t xml:space="preserve"> 2025. </w:t>
      </w:r>
      <w:r>
        <w:rPr>
          <w:rFonts w:asciiTheme="majorHAnsi" w:hAnsiTheme="majorHAnsi"/>
          <w:lang w:val="sr-Cyrl-BA"/>
        </w:rPr>
        <w:t>g</w:t>
      </w:r>
      <w:r>
        <w:rPr>
          <w:rFonts w:asciiTheme="majorHAnsi" w:hAnsiTheme="majorHAnsi"/>
          <w:lang w:val="ru-RU"/>
        </w:rPr>
        <w:t>odini</w:t>
      </w:r>
      <w:r w:rsidR="00096E7C" w:rsidRPr="00D502F7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ru-RU"/>
        </w:rPr>
        <w:t>u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odnosu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na</w:t>
      </w:r>
      <w:r w:rsidR="00096E7C" w:rsidRPr="00D502F7">
        <w:rPr>
          <w:rFonts w:asciiTheme="majorHAnsi" w:hAnsiTheme="majorHAnsi"/>
          <w:lang w:val="sr-Cyrl-BA"/>
        </w:rPr>
        <w:t xml:space="preserve"> 2024. </w:t>
      </w:r>
      <w:r>
        <w:rPr>
          <w:rFonts w:asciiTheme="majorHAnsi" w:hAnsiTheme="majorHAnsi"/>
          <w:lang w:val="ru-RU"/>
        </w:rPr>
        <w:t>godinu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 w:rsidR="00096E7C" w:rsidRPr="00096E7C">
        <w:rPr>
          <w:rFonts w:asciiTheme="majorHAnsi" w:hAnsiTheme="majorHAnsi"/>
          <w:lang w:val="sr-Latn-BA"/>
        </w:rPr>
        <w:t>2</w:t>
      </w:r>
      <w:r w:rsidR="00096E7C" w:rsidRPr="00D502F7">
        <w:rPr>
          <w:rFonts w:asciiTheme="majorHAnsi" w:hAnsiTheme="majorHAnsi"/>
          <w:lang w:val="sr-Cyrl-BA"/>
        </w:rPr>
        <w:t>,</w:t>
      </w:r>
      <w:r w:rsidR="00096E7C" w:rsidRPr="00096E7C">
        <w:rPr>
          <w:rFonts w:asciiTheme="majorHAnsi" w:hAnsiTheme="majorHAnsi"/>
          <w:lang w:val="sr-Latn-BA"/>
        </w:rPr>
        <w:t>42</w:t>
      </w:r>
      <w:r w:rsidR="00096E7C" w:rsidRPr="00D502F7">
        <w:rPr>
          <w:rFonts w:asciiTheme="majorHAnsi" w:hAnsiTheme="majorHAnsi"/>
          <w:lang w:val="sr-Cyrl-BA"/>
        </w:rPr>
        <w:t xml:space="preserve">%. </w:t>
      </w:r>
      <w:r w:rsidRPr="00D502F7">
        <w:rPr>
          <w:rFonts w:asciiTheme="majorHAnsi" w:hAnsiTheme="majorHAnsi"/>
        </w:rPr>
        <w:t>U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narednoj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tabeli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dat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je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analitički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prikaz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planiranih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rashoda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Regulatorne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komisije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u</w:t>
      </w:r>
      <w:r w:rsidR="00096E7C" w:rsidRPr="00D502F7">
        <w:rPr>
          <w:rFonts w:asciiTheme="majorHAnsi" w:hAnsiTheme="majorHAnsi"/>
        </w:rPr>
        <w:t xml:space="preserve"> 2025. </w:t>
      </w:r>
      <w:r w:rsidRPr="00D502F7">
        <w:rPr>
          <w:rFonts w:asciiTheme="majorHAnsi" w:hAnsiTheme="majorHAnsi"/>
        </w:rPr>
        <w:t>godini</w:t>
      </w:r>
      <w:r w:rsidR="00096E7C" w:rsidRPr="00D502F7">
        <w:rPr>
          <w:rFonts w:asciiTheme="majorHAnsi" w:hAnsiTheme="majorHAnsi"/>
        </w:rPr>
        <w:t>.</w:t>
      </w:r>
    </w:p>
    <w:p w:rsidR="00096E7C" w:rsidRPr="00096E7C" w:rsidRDefault="00D502F7" w:rsidP="00096E7C">
      <w:pPr>
        <w:spacing w:before="1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Tabela</w:t>
      </w:r>
      <w:r w:rsidR="00096E7C" w:rsidRPr="00096E7C">
        <w:rPr>
          <w:rFonts w:asciiTheme="majorHAnsi" w:hAnsiTheme="majorHAnsi"/>
          <w:lang w:val="sr-Cyrl-BA"/>
        </w:rPr>
        <w:t xml:space="preserve"> 3. </w:t>
      </w:r>
      <w:r>
        <w:rPr>
          <w:rFonts w:asciiTheme="majorHAnsi" w:hAnsiTheme="majorHAnsi"/>
          <w:lang w:val="sr-Cyrl-BA"/>
        </w:rPr>
        <w:t>Analitički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prikaz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tekućih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2025. </w:t>
      </w:r>
      <w:r>
        <w:rPr>
          <w:rFonts w:asciiTheme="majorHAnsi" w:hAnsiTheme="majorHAnsi"/>
          <w:lang w:val="sr-Cyrl-BA"/>
        </w:rPr>
        <w:t>godini</w:t>
      </w:r>
    </w:p>
    <w:tbl>
      <w:tblPr>
        <w:tblW w:w="10594" w:type="dxa"/>
        <w:tblInd w:w="-572" w:type="dxa"/>
        <w:tblLook w:val="04A0" w:firstRow="1" w:lastRow="0" w:firstColumn="1" w:lastColumn="0" w:noHBand="0" w:noVBand="1"/>
      </w:tblPr>
      <w:tblGrid>
        <w:gridCol w:w="815"/>
        <w:gridCol w:w="4856"/>
        <w:gridCol w:w="1138"/>
        <w:gridCol w:w="1260"/>
        <w:gridCol w:w="1260"/>
        <w:gridCol w:w="1265"/>
      </w:tblGrid>
      <w:tr w:rsidR="00096E7C" w:rsidRPr="00096E7C" w:rsidTr="001026AE">
        <w:trPr>
          <w:trHeight w:val="52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Redni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br/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broj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RASHODI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Budžet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za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2024.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Budžet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sz w:val="20"/>
                <w:szCs w:val="20"/>
              </w:rPr>
              <w:t>za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2025.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Učešće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sz w:val="20"/>
                <w:szCs w:val="20"/>
              </w:rPr>
              <w:t>Indeks</w:t>
            </w:r>
            <w:r w:rsidR="00096E7C" w:rsidRPr="00096E7C">
              <w:rPr>
                <w:rFonts w:asciiTheme="majorHAnsi" w:hAnsiTheme="majorHAnsi" w:cs="Calibri"/>
                <w:bCs/>
                <w:sz w:val="20"/>
                <w:szCs w:val="20"/>
              </w:rPr>
              <w:t xml:space="preserve"> 2025/2024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096E7C" w:rsidRPr="00096E7C" w:rsidRDefault="00D502F7" w:rsidP="001026AE">
            <w:pPr>
              <w:jc w:val="center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TEKUĆI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2.721.424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2.787.410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102,42</w:t>
            </w:r>
          </w:p>
        </w:tc>
      </w:tr>
      <w:tr w:rsidR="00096E7C" w:rsidRPr="00096E7C" w:rsidTr="001026AE">
        <w:trPr>
          <w:trHeight w:val="27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MATERIJALA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,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GORIVA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ENERGIJE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92.500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92.500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3,32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3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ind w:right="-677"/>
              <w:rPr>
                <w:rFonts w:asciiTheme="majorHAnsi" w:hAnsiTheme="majorHAnsi" w:cs="Calibri"/>
                <w:bCs/>
                <w:color w:val="FF66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materijala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32.500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32.500,00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1,17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Kancelarijski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materijal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18.500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18.500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0,66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</w:t>
            </w:r>
          </w:p>
        </w:tc>
      </w:tr>
      <w:tr w:rsidR="00096E7C" w:rsidRPr="00096E7C" w:rsidTr="001026AE">
        <w:trPr>
          <w:trHeight w:val="2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Ostali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materijal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0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66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goriva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energije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55.000,00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1,97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1.2.1.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naftnih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derivata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1,08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1.2.2.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električne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energije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8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66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Ostali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materijala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0,18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41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PLATA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,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NAKNADA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PLATA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OSTALIH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LIČNIH</w:t>
            </w:r>
            <w:r w:rsidR="00096E7C"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PRIMAN</w:t>
            </w: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  <w:lang w:val="ru-RU"/>
              </w:rPr>
              <w:t>ј</w:t>
            </w:r>
            <w:r w:rsidRPr="00D502F7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A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2.357.000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2.437.000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87,43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103,39</w:t>
            </w:r>
          </w:p>
        </w:tc>
      </w:tr>
      <w:tr w:rsidR="00096E7C" w:rsidRPr="00096E7C" w:rsidTr="001026AE">
        <w:trPr>
          <w:trHeight w:val="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bruto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plata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bruto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naknada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plata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2.229.000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2.309.000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82,84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103,59</w:t>
            </w:r>
          </w:p>
        </w:tc>
      </w:tr>
      <w:tr w:rsidR="00096E7C" w:rsidRPr="00096E7C" w:rsidTr="001026AE">
        <w:trPr>
          <w:trHeight w:val="25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Otpremnine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za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odlazak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penziju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ostale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naknade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1,79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7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Pomoć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zaposlenima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skladu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sa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propisima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radu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0,54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1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zaposlenih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na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službenom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putu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63.000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63.000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2,26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6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Dnevnice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u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zemlјi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Dnevnice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u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inostranstvu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8.000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8.000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0,29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0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prevoza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smještaja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u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zeml</w:t>
            </w:r>
            <w:r>
              <w:rPr>
                <w:rFonts w:asciiTheme="majorHAnsi" w:hAnsiTheme="majorHAnsi" w:cs="Calibri"/>
                <w:sz w:val="20"/>
                <w:szCs w:val="20"/>
                <w:lang w:val="ru-RU"/>
              </w:rPr>
              <w:t>ј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17.000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17.000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0,61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4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prevoza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u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 w:cs="Calibri"/>
                <w:sz w:val="20"/>
                <w:szCs w:val="20"/>
              </w:rPr>
              <w:t>inostranstvu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0,54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2.4.5.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smještaja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u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inostranstvu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0,50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1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PROIZVODNIH</w:t>
            </w:r>
            <w:r w:rsidR="00096E7C"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USLUGA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68.800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76.800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2,76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111,63</w:t>
            </w:r>
          </w:p>
        </w:tc>
      </w:tr>
      <w:tr w:rsidR="00096E7C" w:rsidRPr="00096E7C" w:rsidTr="001026AE">
        <w:trPr>
          <w:trHeight w:val="11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transportnih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usluga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0,90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6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3.1.1.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Poštanske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usluge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166,67</w:t>
            </w:r>
          </w:p>
        </w:tc>
      </w:tr>
      <w:tr w:rsidR="00096E7C" w:rsidRPr="00096E7C" w:rsidTr="001026AE">
        <w:trPr>
          <w:trHeight w:val="207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3.1.2.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telefona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interneta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0,68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8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usluga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održavanja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0,75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3.2.1.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održavanja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opreme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3.2.2.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održavanja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vozila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3.2.3.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Ostali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usluga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održavanja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5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zakupa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10.800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10.800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0,39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ostalih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usluga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0,72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166,67</w:t>
            </w:r>
          </w:p>
        </w:tc>
      </w:tr>
      <w:tr w:rsidR="00096E7C" w:rsidRPr="00096E7C" w:rsidTr="001026AE">
        <w:trPr>
          <w:trHeight w:val="161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AMORTIZACIJE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86.000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70.000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2,51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81,40</w:t>
            </w:r>
          </w:p>
        </w:tc>
      </w:tr>
      <w:tr w:rsidR="00096E7C" w:rsidRPr="00096E7C" w:rsidTr="002C3194">
        <w:trPr>
          <w:trHeight w:val="2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NEMATERIJALNI</w:t>
            </w:r>
            <w:r w:rsidR="00096E7C"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TROŠKOVI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107.500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111.000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3,98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103,26</w:t>
            </w:r>
          </w:p>
        </w:tc>
      </w:tr>
      <w:tr w:rsidR="00096E7C" w:rsidRPr="00096E7C" w:rsidTr="002C3194">
        <w:trPr>
          <w:trHeight w:val="2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66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ostalih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usluga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45.000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45.000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1,61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2C3194">
        <w:trPr>
          <w:trHeight w:val="11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5.1.1.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revizije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fin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="Calibri"/>
                <w:sz w:val="20"/>
                <w:szCs w:val="20"/>
              </w:rPr>
              <w:t>izvještaja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0,07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konsultantskih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,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advokatskih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zdravstvenih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usluga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5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stručnog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usavršavanja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zaposlenih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D502F7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izmjena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koje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se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vrše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na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postojećim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programima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za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računare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0,79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D502F7">
        <w:trPr>
          <w:trHeight w:val="7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5.1.5.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D502F7" w:rsidRDefault="00096E7C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O</w:t>
            </w:r>
            <w:r w:rsidR="00D502F7" w:rsidRPr="00D502F7">
              <w:rPr>
                <w:rFonts w:asciiTheme="majorHAnsi" w:hAnsiTheme="majorHAnsi" w:cs="Calibri"/>
                <w:sz w:val="20"/>
                <w:szCs w:val="20"/>
              </w:rPr>
              <w:t>državanje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="00D502F7" w:rsidRPr="00D502F7">
              <w:rPr>
                <w:rFonts w:asciiTheme="majorHAnsi" w:hAnsiTheme="majorHAnsi" w:cs="Calibri"/>
                <w:sz w:val="20"/>
                <w:szCs w:val="20"/>
              </w:rPr>
              <w:t>i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="00D502F7" w:rsidRPr="00D502F7">
              <w:rPr>
                <w:rFonts w:asciiTheme="majorHAnsi" w:hAnsiTheme="majorHAnsi" w:cs="Calibri"/>
                <w:sz w:val="20"/>
                <w:szCs w:val="20"/>
              </w:rPr>
              <w:t>unapređenje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="00D502F7" w:rsidRPr="00D502F7">
              <w:rPr>
                <w:rFonts w:asciiTheme="majorHAnsi" w:hAnsiTheme="majorHAnsi" w:cs="Calibri"/>
                <w:sz w:val="20"/>
                <w:szCs w:val="20"/>
              </w:rPr>
              <w:t>internet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="00D502F7" w:rsidRPr="00D502F7">
              <w:rPr>
                <w:rFonts w:asciiTheme="majorHAnsi" w:hAnsiTheme="majorHAnsi" w:cs="Calibri"/>
                <w:sz w:val="20"/>
                <w:szCs w:val="20"/>
              </w:rPr>
              <w:t>str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 xml:space="preserve">.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D502F7">
        <w:trPr>
          <w:trHeight w:val="3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5.1.6.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Ostale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neproizvodne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usluge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31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reprezentacije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9.000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0,32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4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premija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osiguranja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9.500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9.500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0,34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7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5.3.1.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Premije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osiguranja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imovine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0,07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1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Premije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osiguranja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vozila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0,22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4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sz w:val="20"/>
                <w:szCs w:val="20"/>
              </w:rPr>
              <w:t>Premije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za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obavezno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osiguranje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lica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0,05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platnog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prometa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2.000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0,07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23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članarina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0,20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ostalih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naknada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poreza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(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komunalne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naknade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,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takse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porezi</w:t>
            </w:r>
            <w:r w:rsidR="00096E7C" w:rsidRPr="00D502F7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16.000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0,57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114,29</w:t>
            </w:r>
          </w:p>
        </w:tc>
      </w:tr>
      <w:tr w:rsidR="00096E7C" w:rsidRPr="00096E7C" w:rsidTr="001026AE">
        <w:trPr>
          <w:trHeight w:val="217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doprinosa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Ostali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nematerijani</w:t>
            </w:r>
            <w:r w:rsidR="00096E7C"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troškovi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17.500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19.000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FF0000"/>
                <w:sz w:val="20"/>
                <w:szCs w:val="20"/>
              </w:rPr>
              <w:t>0,68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FF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FF0000"/>
                <w:sz w:val="20"/>
                <w:szCs w:val="20"/>
              </w:rPr>
              <w:t>108,57</w:t>
            </w:r>
          </w:p>
        </w:tc>
      </w:tr>
      <w:tr w:rsidR="00096E7C" w:rsidRPr="00096E7C" w:rsidTr="001026AE">
        <w:trPr>
          <w:trHeight w:val="15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5.8.1.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sz w:val="20"/>
                <w:szCs w:val="20"/>
              </w:rPr>
              <w:t>Objavl</w:t>
            </w:r>
            <w:r>
              <w:rPr>
                <w:rFonts w:asciiTheme="majorHAnsi" w:hAnsiTheme="majorHAnsi" w:cs="Calibri"/>
                <w:sz w:val="20"/>
                <w:szCs w:val="20"/>
                <w:lang w:val="ru-RU"/>
              </w:rPr>
              <w:t>ј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ivanje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akata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u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štampanim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medijima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0,36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186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5.8.2.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Sudske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i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sz w:val="20"/>
                <w:szCs w:val="20"/>
              </w:rPr>
              <w:t>adm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="Calibri"/>
                <w:sz w:val="20"/>
                <w:szCs w:val="20"/>
              </w:rPr>
              <w:t>takse</w:t>
            </w:r>
            <w:r w:rsidR="00096E7C" w:rsidRPr="00096E7C">
              <w:rPr>
                <w:rFonts w:asciiTheme="majorHAnsi" w:hAnsiTheme="majorHAnsi" w:cs="Calibri"/>
                <w:sz w:val="20"/>
                <w:szCs w:val="20"/>
              </w:rPr>
              <w:t xml:space="preserve">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3.500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142,86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5.8.3.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D502F7" w:rsidRDefault="00D502F7" w:rsidP="001026AE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D502F7">
              <w:rPr>
                <w:rFonts w:asciiTheme="majorHAnsi" w:hAnsiTheme="majorHAnsi" w:cs="Calibri"/>
                <w:sz w:val="20"/>
                <w:szCs w:val="20"/>
              </w:rPr>
              <w:t>Troškovi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pretplate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na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časopise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i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stručne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  <w:r w:rsidRPr="00D502F7">
              <w:rPr>
                <w:rFonts w:asciiTheme="majorHAnsi" w:hAnsiTheme="majorHAnsi" w:cs="Calibri"/>
                <w:sz w:val="20"/>
                <w:szCs w:val="20"/>
              </w:rPr>
              <w:t>publikacije</w:t>
            </w:r>
            <w:r w:rsidR="00096E7C" w:rsidRPr="00D502F7">
              <w:rPr>
                <w:rFonts w:asciiTheme="majorHAnsi" w:hAnsiTheme="majorHAnsi" w:cs="Calibri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4.000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sz w:val="20"/>
                <w:szCs w:val="20"/>
              </w:rPr>
              <w:t>0,14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100,00</w:t>
            </w:r>
          </w:p>
        </w:tc>
      </w:tr>
      <w:tr w:rsidR="00096E7C" w:rsidRPr="00096E7C" w:rsidTr="001026AE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096E7C" w:rsidP="001026AE">
            <w:pPr>
              <w:rPr>
                <w:rFonts w:asciiTheme="majorHAnsi" w:hAnsiTheme="majorHAnsi" w:cs="Calibri"/>
                <w:color w:val="000000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E7C" w:rsidRPr="00096E7C" w:rsidRDefault="00D502F7" w:rsidP="001026AE">
            <w:pP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RASHODI</w:t>
            </w:r>
            <w:r w:rsidR="00096E7C"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KAMATA</w:t>
            </w:r>
            <w:r w:rsidR="00096E7C"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9.624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6E7C" w:rsidRPr="00096E7C" w:rsidRDefault="00096E7C" w:rsidP="001026AE">
            <w:pPr>
              <w:jc w:val="right"/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</w:pPr>
            <w:r w:rsidRPr="00096E7C">
              <w:rPr>
                <w:rFonts w:asciiTheme="majorHAnsi" w:hAnsiTheme="majorHAnsi" w:cs="Calibri"/>
                <w:bCs/>
                <w:color w:val="0000FF"/>
                <w:sz w:val="20"/>
                <w:szCs w:val="20"/>
              </w:rPr>
              <w:t>1,14</w:t>
            </w:r>
          </w:p>
        </w:tc>
      </w:tr>
    </w:tbl>
    <w:p w:rsidR="00096E7C" w:rsidRPr="00096E7C" w:rsidRDefault="00096E7C" w:rsidP="00096E7C">
      <w:pPr>
        <w:spacing w:before="120"/>
        <w:jc w:val="both"/>
        <w:rPr>
          <w:rFonts w:asciiTheme="majorHAnsi" w:hAnsiTheme="majorHAnsi"/>
          <w:lang w:val="sr-Cyrl-BA"/>
        </w:rPr>
      </w:pPr>
    </w:p>
    <w:p w:rsidR="00096E7C" w:rsidRPr="00096E7C" w:rsidRDefault="00096E7C" w:rsidP="00096E7C">
      <w:pPr>
        <w:pStyle w:val="Heading5"/>
        <w:tabs>
          <w:tab w:val="left" w:pos="567"/>
        </w:tabs>
        <w:spacing w:before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56" w:name="_Toc533144507"/>
      <w:bookmarkStart w:id="57" w:name="_Toc60219163"/>
      <w:bookmarkStart w:id="58" w:name="_Toc123118155"/>
      <w:bookmarkStart w:id="59" w:name="_Toc186525900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1. 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ab/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materijala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,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goriva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energije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096E7C" w:rsidRPr="00096E7C" w:rsidRDefault="00D502F7" w:rsidP="00096E7C">
      <w:pPr>
        <w:spacing w:after="120"/>
        <w:jc w:val="both"/>
        <w:rPr>
          <w:rFonts w:asciiTheme="majorHAnsi" w:hAnsiTheme="majorHAnsi"/>
          <w:lang w:val="bs-Latn-BA"/>
        </w:rPr>
      </w:pP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materijala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goriva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istom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4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. </w:t>
      </w:r>
    </w:p>
    <w:p w:rsidR="00096E7C" w:rsidRPr="00096E7C" w:rsidRDefault="00D502F7" w:rsidP="00096E7C">
      <w:pPr>
        <w:spacing w:after="1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materijala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obuhvataju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kancelarijskog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materijala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sredstava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održavanje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higijene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sitan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inventar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Latn-CS"/>
        </w:rPr>
        <w:t>Kancelarijski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materijal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obuhvata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CS"/>
        </w:rPr>
        <w:t>utrošeni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materijal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pripremu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dokumentacije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Latn-CS"/>
        </w:rPr>
        <w:t>koj</w:t>
      </w:r>
      <w:r>
        <w:rPr>
          <w:rFonts w:asciiTheme="majorHAnsi" w:hAnsiTheme="majorHAnsi"/>
          <w:lang w:val="sr-Cyrl-BA"/>
        </w:rPr>
        <w:t>a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se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upućuj</w:t>
      </w:r>
      <w:r>
        <w:rPr>
          <w:rFonts w:asciiTheme="majorHAnsi" w:hAnsiTheme="majorHAnsi"/>
          <w:lang w:val="sr-Cyrl-BA"/>
        </w:rPr>
        <w:t>e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na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zahtjev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zainteresovanim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licima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učestvovanje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u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javnim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raspravama</w:t>
      </w:r>
      <w:r w:rsidR="00096E7C" w:rsidRPr="00096E7C">
        <w:rPr>
          <w:rFonts w:asciiTheme="majorHAnsi" w:hAnsiTheme="majorHAnsi"/>
          <w:lang w:val="sr-Cyrl-BA"/>
        </w:rPr>
        <w:t>,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koje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organizuje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komisija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Tokom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4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Latn-CS"/>
        </w:rPr>
        <w:t>Regulator</w:t>
      </w: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postupcima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vodi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ali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kroz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postupke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javnih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nabavki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strankama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zainteresovanim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licima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dostavila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preko</w:t>
      </w:r>
      <w:r w:rsidR="002C3194">
        <w:rPr>
          <w:rFonts w:asciiTheme="majorHAnsi" w:hAnsiTheme="majorHAnsi"/>
          <w:lang w:val="sr-Cyrl-BA"/>
        </w:rPr>
        <w:t xml:space="preserve"> </w:t>
      </w:r>
      <w:r w:rsidR="001D3B29">
        <w:rPr>
          <w:rFonts w:asciiTheme="majorHAnsi" w:hAnsiTheme="majorHAnsi"/>
          <w:lang w:val="sr-Cyrl-BA"/>
        </w:rPr>
        <w:t>100</w:t>
      </w:r>
      <w:r w:rsidR="00096E7C" w:rsidRPr="00096E7C">
        <w:rPr>
          <w:rFonts w:asciiTheme="majorHAnsi" w:hAnsiTheme="majorHAnsi"/>
          <w:lang w:val="sr-Cyrl-BA"/>
        </w:rPr>
        <w:t xml:space="preserve">.000 </w:t>
      </w:r>
      <w:r>
        <w:rPr>
          <w:rFonts w:asciiTheme="majorHAnsi" w:hAnsiTheme="majorHAnsi"/>
          <w:lang w:val="sr-Cyrl-BA"/>
        </w:rPr>
        <w:t>štampanih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stranica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raznih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dokumenata</w:t>
      </w:r>
      <w:r w:rsidR="00096E7C" w:rsidRPr="00096E7C">
        <w:rPr>
          <w:rFonts w:asciiTheme="majorHAnsi" w:hAnsiTheme="majorHAnsi"/>
          <w:lang w:val="sr-Cyrl-BA"/>
        </w:rPr>
        <w:t xml:space="preserve">.  </w:t>
      </w:r>
    </w:p>
    <w:p w:rsidR="00096E7C" w:rsidRPr="00096E7C" w:rsidRDefault="00D502F7" w:rsidP="00096E7C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ru-RU"/>
        </w:rPr>
        <w:t>Ukupan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iznos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tro</w:t>
      </w:r>
      <w:r w:rsidRPr="00D502F7">
        <w:rPr>
          <w:rFonts w:asciiTheme="majorHAnsi" w:hAnsiTheme="majorHAnsi"/>
          <w:lang w:val="sr-Cyrl-BA"/>
        </w:rPr>
        <w:t>š</w:t>
      </w:r>
      <w:r>
        <w:rPr>
          <w:rFonts w:asciiTheme="majorHAnsi" w:hAnsiTheme="majorHAnsi"/>
          <w:lang w:val="ru-RU"/>
        </w:rPr>
        <w:t>kova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goriva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i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elektri</w:t>
      </w:r>
      <w:r w:rsidRPr="00D502F7">
        <w:rPr>
          <w:rFonts w:asciiTheme="majorHAnsi" w:hAnsiTheme="majorHAnsi"/>
          <w:lang w:val="sr-Cyrl-BA"/>
        </w:rPr>
        <w:t>č</w:t>
      </w:r>
      <w:r>
        <w:rPr>
          <w:rFonts w:asciiTheme="majorHAnsi" w:hAnsiTheme="majorHAnsi"/>
          <w:lang w:val="ru-RU"/>
        </w:rPr>
        <w:t>ne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energije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je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planiran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istom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u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prethodnoj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bud</w:t>
      </w:r>
      <w:r w:rsidRPr="00D502F7">
        <w:rPr>
          <w:rFonts w:asciiTheme="majorHAnsi" w:hAnsiTheme="majorHAnsi"/>
          <w:lang w:val="sr-Cyrl-BA"/>
        </w:rPr>
        <w:t>ž</w:t>
      </w:r>
      <w:r>
        <w:rPr>
          <w:rFonts w:asciiTheme="majorHAnsi" w:hAnsiTheme="majorHAnsi"/>
          <w:lang w:val="ru-RU"/>
        </w:rPr>
        <w:t>etskoj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skladu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potpisanim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ugovorima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snabdjevačem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električne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izabranim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dobavlјačem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goriva</w:t>
      </w:r>
      <w:r w:rsidR="00096E7C" w:rsidRPr="00096E7C">
        <w:rPr>
          <w:rFonts w:asciiTheme="majorHAnsi" w:hAnsiTheme="majorHAnsi"/>
          <w:lang w:val="sr-Cyrl-BA"/>
        </w:rPr>
        <w:t>.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 w:rsidRPr="00D502F7">
        <w:rPr>
          <w:rFonts w:asciiTheme="majorHAnsi" w:hAnsiTheme="majorHAnsi"/>
        </w:rPr>
        <w:t>I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ostal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troškovi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materijala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su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planirani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u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istom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obimu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4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.  </w:t>
      </w:r>
      <w:r>
        <w:rPr>
          <w:rFonts w:asciiTheme="majorHAnsi" w:hAnsiTheme="majorHAnsi"/>
          <w:lang w:val="sr-Cyrl-BA"/>
        </w:rPr>
        <w:t>U</w:t>
      </w:r>
      <w:r w:rsidR="00096E7C" w:rsidRPr="00D502F7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lang w:val="sr-Cyrl-BA"/>
        </w:rPr>
        <w:t>pitanju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 w:rsidRPr="00D502F7">
        <w:rPr>
          <w:rFonts w:asciiTheme="majorHAnsi" w:hAnsiTheme="majorHAnsi"/>
        </w:rPr>
        <w:t>troškov</w:t>
      </w:r>
      <w:r>
        <w:rPr>
          <w:rFonts w:asciiTheme="majorHAnsi" w:hAnsiTheme="majorHAnsi"/>
          <w:lang w:val="sr-Cyrl-BA"/>
        </w:rPr>
        <w:t>i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kupovine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auto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guma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za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motorna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vozila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Regulatorne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komisije</w:t>
      </w:r>
      <w:r w:rsidR="00096E7C" w:rsidRPr="00D502F7">
        <w:rPr>
          <w:rFonts w:asciiTheme="majorHAnsi" w:hAnsiTheme="majorHAnsi"/>
        </w:rPr>
        <w:t>.</w:t>
      </w:r>
    </w:p>
    <w:p w:rsidR="00096E7C" w:rsidRPr="00096E7C" w:rsidRDefault="00096E7C" w:rsidP="001D3B29">
      <w:pPr>
        <w:pStyle w:val="Heading5"/>
        <w:spacing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60" w:name="_Toc182978461"/>
      <w:bookmarkStart w:id="61" w:name="_Toc213819812"/>
      <w:bookmarkStart w:id="62" w:name="_Toc245551593"/>
      <w:bookmarkStart w:id="63" w:name="_Toc405462048"/>
      <w:bookmarkStart w:id="64" w:name="_Toc434497741"/>
      <w:bookmarkStart w:id="65" w:name="_Toc533144508"/>
      <w:bookmarkStart w:id="66" w:name="_Toc60219164"/>
      <w:bookmarkStart w:id="67" w:name="_Toc123118156"/>
      <w:bookmarkStart w:id="68" w:name="_Toc186525901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2. 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ab/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plata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,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naknada</w:t>
      </w:r>
      <w:bookmarkEnd w:id="60"/>
      <w:bookmarkEnd w:id="61"/>
      <w:bookmarkEnd w:id="62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plata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ostalih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ličnih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primanja</w:t>
      </w:r>
      <w:bookmarkEnd w:id="63"/>
      <w:bookmarkEnd w:id="64"/>
      <w:bookmarkEnd w:id="65"/>
      <w:bookmarkEnd w:id="66"/>
      <w:bookmarkEnd w:id="67"/>
      <w:bookmarkEnd w:id="68"/>
    </w:p>
    <w:p w:rsidR="00096E7C" w:rsidRPr="00096E7C" w:rsidRDefault="00D502F7" w:rsidP="00096E7C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plata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naknada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ostalih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ličnih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primanja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obuhvataju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ukupna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lična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primanja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uklјučujući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Latn-BA"/>
        </w:rPr>
        <w:t>t</w:t>
      </w:r>
      <w:r>
        <w:rPr>
          <w:rFonts w:asciiTheme="majorHAnsi" w:hAnsiTheme="majorHAnsi"/>
          <w:lang w:val="sr-Cyrl-CS"/>
        </w:rPr>
        <w:t>roškove</w:t>
      </w:r>
      <w:r w:rsidR="00096E7C" w:rsidRPr="00096E7C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zaposlenih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službenom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putu</w:t>
      </w:r>
      <w:r w:rsidR="00096E7C" w:rsidRPr="00096E7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BA"/>
        </w:rPr>
        <w:t>otpremnine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odlazak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penziju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pomoć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zaposlenima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slučaj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smrti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članova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porodice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ostale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naknade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skladu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propisima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radu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bruto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plata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naknada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ostalih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ličnih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primanja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većem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 w:rsidR="00096E7C" w:rsidRPr="00096E7C">
        <w:rPr>
          <w:rFonts w:asciiTheme="majorHAnsi" w:hAnsiTheme="majorHAnsi"/>
          <w:lang w:val="sr-Latn-BA"/>
        </w:rPr>
        <w:t>3</w:t>
      </w:r>
      <w:r w:rsidR="00096E7C" w:rsidRPr="00096E7C">
        <w:rPr>
          <w:rFonts w:asciiTheme="majorHAnsi" w:hAnsiTheme="majorHAnsi"/>
          <w:lang w:val="sr-Cyrl-BA"/>
        </w:rPr>
        <w:t>,</w:t>
      </w:r>
      <w:r w:rsidR="00096E7C" w:rsidRPr="00096E7C">
        <w:rPr>
          <w:rFonts w:asciiTheme="majorHAnsi" w:hAnsiTheme="majorHAnsi"/>
          <w:lang w:val="sr-Latn-BA"/>
        </w:rPr>
        <w:t>39</w:t>
      </w:r>
      <w:r w:rsidR="00096E7C" w:rsidRPr="00096E7C">
        <w:rPr>
          <w:rFonts w:asciiTheme="majorHAnsi" w:hAnsiTheme="majorHAnsi"/>
          <w:lang w:val="sr-Cyrl-BA"/>
        </w:rPr>
        <w:t xml:space="preserve">% </w:t>
      </w:r>
      <w:r>
        <w:rPr>
          <w:rFonts w:asciiTheme="majorHAnsi" w:hAnsiTheme="majorHAnsi"/>
          <w:lang w:val="sr-Cyrl-BA"/>
        </w:rPr>
        <w:t>nego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4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Osnov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zarada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Latn-CS"/>
        </w:rPr>
        <w:t>i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naknad</w:t>
      </w:r>
      <w:r>
        <w:rPr>
          <w:rFonts w:asciiTheme="majorHAnsi" w:hAnsiTheme="majorHAnsi"/>
          <w:lang w:val="sr-Cyrl-BA"/>
        </w:rPr>
        <w:t>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zarada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Cyrl-BA"/>
        </w:rPr>
        <w:t>zaposlenih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Regulatorn</w:t>
      </w:r>
      <w:r>
        <w:rPr>
          <w:rFonts w:asciiTheme="majorHAnsi" w:hAnsiTheme="majorHAnsi"/>
          <w:lang w:val="sr-Cyrl-BA"/>
        </w:rPr>
        <w:t>oj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komisij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ostvarenje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4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.  </w:t>
      </w:r>
    </w:p>
    <w:p w:rsidR="00096E7C" w:rsidRPr="00096E7C" w:rsidRDefault="00D502F7" w:rsidP="00096E7C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BA"/>
        </w:rPr>
        <w:t>bruto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plata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bruto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naknada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5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obimu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većem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3,59% </w:t>
      </w:r>
      <w:r>
        <w:rPr>
          <w:rFonts w:asciiTheme="majorHAnsi" w:hAnsiTheme="majorHAnsi"/>
          <w:lang w:val="sr-Cyrl-BA"/>
        </w:rPr>
        <w:t>nego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</w:t>
      </w:r>
      <w:r w:rsidR="00096E7C" w:rsidRPr="00096E7C">
        <w:rPr>
          <w:rFonts w:asciiTheme="majorHAnsi" w:hAnsiTheme="majorHAnsi"/>
          <w:lang w:val="sr-Latn-BA"/>
        </w:rPr>
        <w:t>4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>.</w:t>
      </w:r>
      <w:r w:rsidR="00096E7C" w:rsidRPr="00096E7C" w:rsidDel="006D150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poreza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doprinosi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skladu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propisima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Predviđeni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porast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dijelom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rezultat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predviđenog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zakonskog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povećanja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toplog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obroka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broja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godina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minulog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zaposlenih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tj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uvećanja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osnovu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naknade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minuli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rad</w:t>
      </w:r>
      <w:r w:rsidR="00096E7C" w:rsidRPr="00096E7C">
        <w:rPr>
          <w:rFonts w:asciiTheme="majorHAnsi" w:hAnsiTheme="majorHAnsi"/>
          <w:lang w:val="sr-Cyrl-BA"/>
        </w:rPr>
        <w:t xml:space="preserve">. </w:t>
      </w:r>
    </w:p>
    <w:p w:rsidR="00096E7C" w:rsidRPr="00096E7C" w:rsidRDefault="00D502F7" w:rsidP="00096E7C">
      <w:pPr>
        <w:spacing w:after="240"/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ru-RU"/>
        </w:rPr>
        <w:t>T</w:t>
      </w:r>
      <w:r>
        <w:rPr>
          <w:rFonts w:asciiTheme="majorHAnsi" w:hAnsiTheme="majorHAnsi"/>
          <w:lang w:val="sr-Cyrl-BA"/>
        </w:rPr>
        <w:t>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otpremnina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odlazak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penziju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ostale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nagrade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pomoći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zaposlenima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skladu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propisima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radu</w:t>
      </w:r>
      <w:r w:rsidR="00096E7C" w:rsidRPr="00096E7C">
        <w:rPr>
          <w:rFonts w:asciiTheme="majorHAnsi" w:hAnsiTheme="majorHAnsi"/>
          <w:lang w:val="sr-Cyrl-BA"/>
        </w:rPr>
        <w:t xml:space="preserve">,  </w:t>
      </w: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istom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obimu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prethodnoj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. </w:t>
      </w:r>
    </w:p>
    <w:p w:rsidR="00096E7C" w:rsidRPr="00096E7C" w:rsidRDefault="00D502F7" w:rsidP="00096E7C">
      <w:pPr>
        <w:tabs>
          <w:tab w:val="left" w:pos="567"/>
        </w:tabs>
        <w:spacing w:after="1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CS"/>
        </w:rPr>
        <w:t>Pored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navedenih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troškova</w:t>
      </w:r>
      <w:r w:rsidR="00096E7C" w:rsidRPr="00096E7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i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troškovi</w:t>
      </w:r>
      <w:r w:rsidR="00096E7C" w:rsidRPr="00096E7C">
        <w:rPr>
          <w:rFonts w:asciiTheme="majorHAnsi" w:hAnsiTheme="majorHAnsi"/>
          <w:b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zaposlenih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službenom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putu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planirani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istom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iznosu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kao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prethodnoj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budžetskoj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godini</w:t>
      </w:r>
      <w:r w:rsidR="00096E7C" w:rsidRPr="00096E7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skladu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ostvarenjem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prethodnoj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očekivanim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aktivnostima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2025.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>.</w:t>
      </w:r>
    </w:p>
    <w:p w:rsidR="00096E7C" w:rsidRPr="00096E7C" w:rsidRDefault="00096E7C" w:rsidP="001D3B29">
      <w:pPr>
        <w:pStyle w:val="Heading5"/>
        <w:tabs>
          <w:tab w:val="left" w:pos="426"/>
        </w:tabs>
        <w:spacing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69" w:name="_Toc182978462"/>
      <w:bookmarkStart w:id="70" w:name="_Toc213819813"/>
      <w:bookmarkStart w:id="71" w:name="_Toc245551594"/>
      <w:bookmarkStart w:id="72" w:name="_Toc405462049"/>
      <w:bookmarkStart w:id="73" w:name="_Toc434497742"/>
      <w:bookmarkStart w:id="74" w:name="_Toc533144509"/>
      <w:bookmarkStart w:id="75" w:name="_Toc60219165"/>
      <w:bookmarkStart w:id="76" w:name="_Toc123118157"/>
      <w:bookmarkStart w:id="77" w:name="_Toc186525902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3.</w:t>
      </w:r>
      <w:r w:rsidRPr="00D502F7">
        <w:rPr>
          <w:rFonts w:asciiTheme="majorHAnsi" w:hAnsiTheme="majorHAnsi"/>
          <w:i w:val="0"/>
          <w:sz w:val="24"/>
          <w:szCs w:val="24"/>
          <w:lang w:val="sr-Cyrl-BA"/>
        </w:rPr>
        <w:tab/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proizvodnih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usluga</w:t>
      </w:r>
      <w:bookmarkEnd w:id="69"/>
      <w:bookmarkEnd w:id="70"/>
      <w:bookmarkEnd w:id="71"/>
      <w:bookmarkEnd w:id="72"/>
      <w:bookmarkEnd w:id="73"/>
      <w:bookmarkEnd w:id="74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: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transportnih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usluga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,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usluga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održavanja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,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zakupa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ostalih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usluga</w:t>
      </w:r>
      <w:bookmarkEnd w:id="75"/>
      <w:bookmarkEnd w:id="76"/>
      <w:bookmarkEnd w:id="77"/>
    </w:p>
    <w:p w:rsidR="00096E7C" w:rsidRPr="00096E7C" w:rsidRDefault="00D502F7" w:rsidP="00096E7C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Prijedlogom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budžeta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2025. </w:t>
      </w:r>
      <w:r>
        <w:rPr>
          <w:rFonts w:asciiTheme="majorHAnsi" w:hAnsiTheme="majorHAnsi"/>
          <w:lang w:val="sr-Cyrl-BA"/>
        </w:rPr>
        <w:t>godinu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predviđeno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ukupno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povećanje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navedenih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11,63%, </w:t>
      </w:r>
      <w:r>
        <w:rPr>
          <w:rFonts w:asciiTheme="majorHAnsi" w:hAnsiTheme="majorHAnsi"/>
          <w:lang w:val="sr-Cyrl-BA"/>
        </w:rPr>
        <w:t>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potpisanim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ugovorima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ispostavlјenim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računima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toku</w:t>
      </w:r>
      <w:r w:rsidR="00096E7C" w:rsidRPr="00096E7C">
        <w:rPr>
          <w:rFonts w:asciiTheme="majorHAnsi" w:hAnsiTheme="majorHAnsi"/>
          <w:lang w:val="sr-Cyrl-BA"/>
        </w:rPr>
        <w:t xml:space="preserve"> 2024. </w:t>
      </w:r>
      <w:r>
        <w:rPr>
          <w:rFonts w:asciiTheme="majorHAnsi" w:hAnsiTheme="majorHAnsi"/>
          <w:lang w:val="sr-Cyrl-BA"/>
        </w:rPr>
        <w:t>godine</w:t>
      </w:r>
      <w:r w:rsidR="00096E7C" w:rsidRPr="00096E7C">
        <w:rPr>
          <w:rFonts w:asciiTheme="majorHAnsi" w:hAnsiTheme="majorHAnsi"/>
          <w:lang w:val="sr-Cyrl-BA"/>
        </w:rPr>
        <w:t>.</w:t>
      </w:r>
    </w:p>
    <w:p w:rsidR="00096E7C" w:rsidRPr="00096E7C" w:rsidRDefault="00096E7C" w:rsidP="001D3B29">
      <w:pPr>
        <w:pStyle w:val="Heading5"/>
        <w:spacing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78" w:name="_Toc533144510"/>
      <w:bookmarkStart w:id="79" w:name="_Toc60219166"/>
      <w:bookmarkStart w:id="80" w:name="_Toc123118158"/>
      <w:bookmarkStart w:id="81" w:name="_Toc186525903"/>
      <w:bookmarkStart w:id="82" w:name="_Toc182978463"/>
      <w:bookmarkStart w:id="83" w:name="_Toc213819814"/>
      <w:bookmarkStart w:id="84" w:name="_Toc245551595"/>
      <w:bookmarkStart w:id="85" w:name="_Toc405462050"/>
      <w:bookmarkStart w:id="86" w:name="_Toc434497743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4.</w:t>
      </w:r>
      <w:r w:rsidRPr="00096E7C">
        <w:rPr>
          <w:rFonts w:asciiTheme="majorHAnsi" w:hAnsiTheme="majorHAnsi"/>
          <w:i w:val="0"/>
          <w:sz w:val="24"/>
          <w:szCs w:val="24"/>
        </w:rPr>
        <w:tab/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amortizacije</w:t>
      </w:r>
      <w:bookmarkEnd w:id="78"/>
      <w:bookmarkEnd w:id="79"/>
      <w:bookmarkEnd w:id="80"/>
      <w:bookmarkEnd w:id="81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</w:p>
    <w:p w:rsidR="00096E7C" w:rsidRPr="00096E7C" w:rsidRDefault="00D502F7" w:rsidP="00096E7C">
      <w:pPr>
        <w:spacing w:after="240"/>
        <w:jc w:val="both"/>
        <w:rPr>
          <w:rFonts w:asciiTheme="majorHAnsi" w:hAnsiTheme="majorHAnsi"/>
          <w:lang w:val="bs-Latn-BA"/>
        </w:rPr>
      </w:pP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amortizacije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manjem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nego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2024.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18,60%</w:t>
      </w:r>
      <w:r w:rsidR="00096E7C" w:rsidRPr="00096E7C">
        <w:rPr>
          <w:rFonts w:asciiTheme="majorHAnsi" w:hAnsiTheme="majorHAnsi"/>
          <w:lang w:val="sr-Latn-BA"/>
        </w:rPr>
        <w:t>.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obuhvataju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obračunate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amortizacije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postojeću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opremu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poslovnu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zgradu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posjedu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>.</w:t>
      </w:r>
    </w:p>
    <w:p w:rsidR="00096E7C" w:rsidRPr="00096E7C" w:rsidRDefault="00096E7C" w:rsidP="00096E7C">
      <w:pPr>
        <w:pStyle w:val="Heading5"/>
        <w:spacing w:before="0"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87" w:name="_Toc533144511"/>
      <w:bookmarkStart w:id="88" w:name="_Toc60219167"/>
      <w:bookmarkStart w:id="89" w:name="_Toc123118159"/>
      <w:bookmarkStart w:id="90" w:name="_Toc186525904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5.</w:t>
      </w:r>
      <w:r w:rsidRPr="00096E7C">
        <w:rPr>
          <w:rFonts w:asciiTheme="majorHAnsi" w:hAnsiTheme="majorHAnsi"/>
          <w:i w:val="0"/>
          <w:sz w:val="24"/>
          <w:szCs w:val="24"/>
        </w:rPr>
        <w:tab/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Nematerijalni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troškovi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096E7C" w:rsidRPr="00096E7C" w:rsidRDefault="00D502F7" w:rsidP="00096E7C">
      <w:pPr>
        <w:spacing w:after="120"/>
        <w:jc w:val="both"/>
        <w:rPr>
          <w:rFonts w:asciiTheme="majorHAnsi" w:hAnsiTheme="majorHAnsi"/>
          <w:lang w:val="sr-Latn-BA" w:eastAsia="bs-Latn-BA"/>
        </w:rPr>
      </w:pPr>
      <w:r>
        <w:rPr>
          <w:rFonts w:asciiTheme="majorHAnsi" w:hAnsiTheme="majorHAnsi"/>
          <w:lang w:val="ru-RU" w:eastAsia="bs-Latn-BA"/>
        </w:rPr>
        <w:t>Za</w:t>
      </w:r>
      <w:r w:rsidR="00096E7C" w:rsidRPr="00D502F7">
        <w:rPr>
          <w:rFonts w:asciiTheme="majorHAnsi" w:hAnsiTheme="majorHAnsi"/>
          <w:lang w:val="sr-Cyrl-BA" w:eastAsia="bs-Latn-BA"/>
        </w:rPr>
        <w:t xml:space="preserve"> 2025. </w:t>
      </w:r>
      <w:r>
        <w:rPr>
          <w:rFonts w:asciiTheme="majorHAnsi" w:hAnsiTheme="majorHAnsi"/>
          <w:lang w:val="ru-RU" w:eastAsia="bs-Latn-BA"/>
        </w:rPr>
        <w:t>godinu</w:t>
      </w:r>
      <w:r w:rsidR="00096E7C" w:rsidRPr="00096E7C">
        <w:rPr>
          <w:rFonts w:asciiTheme="majorHAnsi" w:hAnsiTheme="majorHAnsi"/>
          <w:lang w:val="sr-Cyrl-BA" w:eastAsia="bs-Latn-BA"/>
        </w:rPr>
        <w:t>,</w:t>
      </w:r>
      <w:r w:rsidR="00096E7C" w:rsidRPr="00D502F7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nematerijalni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troškovi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su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planirani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većem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obimu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nego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u</w:t>
      </w:r>
      <w:r w:rsidR="00096E7C" w:rsidRPr="00096E7C">
        <w:rPr>
          <w:rFonts w:asciiTheme="majorHAnsi" w:hAnsiTheme="majorHAnsi"/>
          <w:lang w:val="sr-Cyrl-BA" w:eastAsia="bs-Latn-BA"/>
        </w:rPr>
        <w:t xml:space="preserve"> 2024. </w:t>
      </w:r>
      <w:r>
        <w:rPr>
          <w:rFonts w:asciiTheme="majorHAnsi" w:hAnsiTheme="majorHAnsi"/>
          <w:lang w:val="sr-Cyrl-BA" w:eastAsia="bs-Latn-BA"/>
        </w:rPr>
        <w:t>godini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za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 w:rsidR="00096E7C" w:rsidRPr="00096E7C">
        <w:rPr>
          <w:rFonts w:asciiTheme="majorHAnsi" w:hAnsiTheme="majorHAnsi"/>
          <w:lang w:val="sr-Latn-BA" w:eastAsia="bs-Latn-BA"/>
        </w:rPr>
        <w:t>3</w:t>
      </w:r>
      <w:r w:rsidR="00096E7C" w:rsidRPr="00096E7C">
        <w:rPr>
          <w:rFonts w:asciiTheme="majorHAnsi" w:hAnsiTheme="majorHAnsi"/>
          <w:lang w:val="sr-Cyrl-BA" w:eastAsia="bs-Latn-BA"/>
        </w:rPr>
        <w:t>,</w:t>
      </w:r>
      <w:r w:rsidR="00096E7C" w:rsidRPr="00096E7C">
        <w:rPr>
          <w:rFonts w:asciiTheme="majorHAnsi" w:hAnsiTheme="majorHAnsi"/>
          <w:lang w:val="sr-Latn-BA" w:eastAsia="bs-Latn-BA"/>
        </w:rPr>
        <w:t>26</w:t>
      </w:r>
      <w:r w:rsidR="00096E7C" w:rsidRPr="00096E7C">
        <w:rPr>
          <w:rFonts w:asciiTheme="majorHAnsi" w:hAnsiTheme="majorHAnsi"/>
          <w:lang w:val="sr-Cyrl-BA" w:eastAsia="bs-Latn-BA"/>
        </w:rPr>
        <w:t xml:space="preserve">%, </w:t>
      </w:r>
      <w:r>
        <w:rPr>
          <w:rFonts w:asciiTheme="majorHAnsi" w:hAnsiTheme="majorHAnsi"/>
          <w:lang w:val="sr-Cyrl-BA" w:eastAsia="bs-Latn-BA"/>
        </w:rPr>
        <w:t>zbog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predviđenog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povećanja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troškova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ostalih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naknada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poreza</w:t>
      </w:r>
      <w:r w:rsidR="00096E7C" w:rsidRPr="00096E7C">
        <w:rPr>
          <w:rFonts w:asciiTheme="majorHAnsi" w:hAnsiTheme="majorHAnsi"/>
          <w:lang w:val="sr-Cyrl-CS" w:eastAsia="bs-Latn-BA"/>
        </w:rPr>
        <w:t xml:space="preserve">. </w:t>
      </w:r>
      <w:r>
        <w:rPr>
          <w:rFonts w:asciiTheme="majorHAnsi" w:hAnsiTheme="majorHAnsi"/>
          <w:lang w:val="sr-Cyrl-CS" w:eastAsia="bs-Latn-BA"/>
        </w:rPr>
        <w:t>Troškovi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ostalih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usluga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tj</w:t>
      </w:r>
      <w:r w:rsidR="00096E7C" w:rsidRPr="00096E7C">
        <w:rPr>
          <w:rFonts w:asciiTheme="majorHAnsi" w:hAnsiTheme="majorHAnsi"/>
          <w:lang w:val="sr-Cyrl-CS" w:eastAsia="bs-Latn-BA"/>
        </w:rPr>
        <w:t xml:space="preserve">. </w:t>
      </w:r>
      <w:r>
        <w:rPr>
          <w:rFonts w:asciiTheme="majorHAnsi" w:hAnsiTheme="majorHAnsi"/>
          <w:lang w:val="sr-Cyrl-BA" w:eastAsia="bs-Latn-BA"/>
        </w:rPr>
        <w:t>t</w:t>
      </w:r>
      <w:r>
        <w:rPr>
          <w:rFonts w:asciiTheme="majorHAnsi" w:hAnsiTheme="majorHAnsi"/>
          <w:lang w:val="sr-Cyrl-BA"/>
        </w:rPr>
        <w:t>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revizije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finansijskih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izvještaja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stručnog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usavršavanja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zaposlenih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CS" w:eastAsia="bs-Latn-BA"/>
        </w:rPr>
        <w:t>izmjena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koje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se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vrše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na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postojećim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programima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za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računare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CS" w:eastAsia="bs-Latn-BA"/>
        </w:rPr>
        <w:t>i</w:t>
      </w:r>
      <w:r w:rsidR="00096E7C" w:rsidRPr="00096E7C">
        <w:rPr>
          <w:rFonts w:asciiTheme="majorHAnsi" w:hAnsiTheme="majorHAnsi"/>
          <w:lang w:val="sr-Latn-BA" w:eastAsia="bs-Latn-BA"/>
        </w:rPr>
        <w:t xml:space="preserve"> </w:t>
      </w:r>
      <w:r>
        <w:rPr>
          <w:rFonts w:asciiTheme="majorHAnsi" w:hAnsiTheme="majorHAnsi"/>
          <w:lang w:val="sr-Cyrl-BA"/>
        </w:rPr>
        <w:t>ostale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neproizvodne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usluge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istom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prethodnoj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budžetskoj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CS" w:eastAsia="bs-Latn-BA"/>
        </w:rPr>
        <w:t>reprezentacije</w:t>
      </w:r>
      <w:r w:rsidR="00096E7C" w:rsidRPr="00096E7C">
        <w:rPr>
          <w:rFonts w:asciiTheme="majorHAnsi" w:hAnsiTheme="majorHAnsi"/>
          <w:lang w:val="sr-Cyrl-CS" w:eastAsia="bs-Latn-BA"/>
        </w:rPr>
        <w:t xml:space="preserve">, </w:t>
      </w:r>
      <w:r>
        <w:rPr>
          <w:rFonts w:asciiTheme="majorHAnsi" w:hAnsiTheme="majorHAnsi"/>
          <w:lang w:val="sr-Latn-CS"/>
        </w:rPr>
        <w:t>osiguranja</w:t>
      </w:r>
      <w:r w:rsidR="00096E7C" w:rsidRPr="00096E7C">
        <w:rPr>
          <w:rFonts w:asciiTheme="majorHAnsi" w:hAnsiTheme="majorHAnsi"/>
          <w:lang w:val="sr-Cyrl-BA"/>
        </w:rPr>
        <w:t>,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t</w:t>
      </w:r>
      <w:r>
        <w:rPr>
          <w:rFonts w:asciiTheme="majorHAnsi" w:hAnsiTheme="majorHAnsi"/>
          <w:lang w:val="sr-Latn-CS"/>
        </w:rPr>
        <w:t>roškovi</w:t>
      </w:r>
      <w:r w:rsidR="00096E7C" w:rsidRPr="00096E7C">
        <w:rPr>
          <w:rFonts w:asciiTheme="majorHAnsi" w:hAnsiTheme="majorHAnsi"/>
          <w:lang w:val="sr-Latn-CS"/>
        </w:rPr>
        <w:t xml:space="preserve"> </w:t>
      </w:r>
      <w:r>
        <w:rPr>
          <w:rFonts w:asciiTheme="majorHAnsi" w:hAnsiTheme="majorHAnsi"/>
          <w:lang w:val="sr-Latn-CS"/>
        </w:rPr>
        <w:t>članarina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D502F7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ru-RU"/>
        </w:rPr>
        <w:t>doprinosa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i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ostali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nematerijalni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sr-Cyrl-CS" w:eastAsia="bs-Latn-BA"/>
        </w:rPr>
        <w:t>troškovi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  <w:r>
        <w:rPr>
          <w:rFonts w:asciiTheme="majorHAnsi" w:hAnsiTheme="majorHAnsi"/>
          <w:lang w:val="ru-RU" w:eastAsia="bs-Latn-BA"/>
        </w:rPr>
        <w:t>su</w:t>
      </w:r>
      <w:r w:rsidR="00096E7C" w:rsidRPr="00D502F7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ru-RU" w:eastAsia="bs-Latn-BA"/>
        </w:rPr>
        <w:t>tako</w:t>
      </w:r>
      <w:r w:rsidRPr="00D502F7">
        <w:rPr>
          <w:rFonts w:asciiTheme="majorHAnsi" w:hAnsiTheme="majorHAnsi"/>
          <w:lang w:val="sr-Cyrl-BA" w:eastAsia="bs-Latn-BA"/>
        </w:rPr>
        <w:t>đ</w:t>
      </w:r>
      <w:r>
        <w:rPr>
          <w:rFonts w:asciiTheme="majorHAnsi" w:hAnsiTheme="majorHAnsi"/>
          <w:lang w:val="ru-RU" w:eastAsia="bs-Latn-BA"/>
        </w:rPr>
        <w:t>e</w:t>
      </w:r>
      <w:r w:rsidR="00096E7C" w:rsidRPr="00D502F7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ru-RU" w:eastAsia="bs-Latn-BA"/>
        </w:rPr>
        <w:t>planirani</w:t>
      </w:r>
      <w:r w:rsidR="00096E7C" w:rsidRPr="00D502F7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ru-RU" w:eastAsia="bs-Latn-BA"/>
        </w:rPr>
        <w:t>u</w:t>
      </w:r>
      <w:r w:rsidR="00096E7C" w:rsidRPr="00D502F7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istom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ru-RU" w:eastAsia="bs-Latn-BA"/>
        </w:rPr>
        <w:t>obimu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kao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ru-RU" w:eastAsia="bs-Latn-BA"/>
        </w:rPr>
        <w:t>u</w:t>
      </w:r>
      <w:r w:rsidR="00096E7C" w:rsidRPr="00D502F7">
        <w:rPr>
          <w:rFonts w:asciiTheme="majorHAnsi" w:hAnsiTheme="majorHAnsi"/>
          <w:lang w:val="sr-Cyrl-BA" w:eastAsia="bs-Latn-BA"/>
        </w:rPr>
        <w:t xml:space="preserve"> 2024. </w:t>
      </w:r>
      <w:r>
        <w:rPr>
          <w:rFonts w:asciiTheme="majorHAnsi" w:hAnsiTheme="majorHAnsi"/>
          <w:lang w:val="ru-RU" w:eastAsia="bs-Latn-BA"/>
        </w:rPr>
        <w:t>godini</w:t>
      </w:r>
      <w:r w:rsidR="001D3B29" w:rsidRPr="00D502F7">
        <w:rPr>
          <w:rFonts w:asciiTheme="majorHAnsi" w:hAnsiTheme="majorHAnsi"/>
          <w:lang w:val="sr-Cyrl-BA" w:eastAsia="bs-Latn-BA"/>
        </w:rPr>
        <w:t>.</w:t>
      </w:r>
      <w:r w:rsidR="00096E7C" w:rsidRPr="00096E7C">
        <w:rPr>
          <w:rFonts w:asciiTheme="majorHAnsi" w:hAnsiTheme="majorHAnsi"/>
          <w:lang w:val="sr-Cyrl-CS" w:eastAsia="bs-Latn-BA"/>
        </w:rPr>
        <w:t xml:space="preserve"> </w:t>
      </w:r>
    </w:p>
    <w:p w:rsidR="00096E7C" w:rsidRPr="00096E7C" w:rsidRDefault="00D502F7" w:rsidP="00096E7C">
      <w:pPr>
        <w:spacing w:after="120"/>
        <w:jc w:val="both"/>
        <w:rPr>
          <w:rFonts w:asciiTheme="majorHAnsi" w:hAnsiTheme="majorHAnsi"/>
          <w:lang w:val="sr-Cyrl-BA" w:eastAsia="bs-Latn-BA"/>
        </w:rPr>
      </w:pPr>
      <w:r>
        <w:rPr>
          <w:rFonts w:asciiTheme="majorHAnsi" w:hAnsiTheme="majorHAnsi"/>
          <w:lang w:val="sr-Cyrl-BA" w:eastAsia="bs-Latn-BA"/>
        </w:rPr>
        <w:t>Troškovi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naknada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poreza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su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povećani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u</w:t>
      </w:r>
      <w:r w:rsidR="00096E7C" w:rsidRPr="00096E7C">
        <w:rPr>
          <w:rFonts w:asciiTheme="majorHAnsi" w:hAnsiTheme="majorHAnsi"/>
          <w:lang w:val="sr-Cyrl-BA" w:eastAsia="bs-Latn-BA"/>
        </w:rPr>
        <w:t xml:space="preserve"> 2025. </w:t>
      </w:r>
      <w:r>
        <w:rPr>
          <w:rFonts w:asciiTheme="majorHAnsi" w:hAnsiTheme="majorHAnsi"/>
          <w:lang w:val="sr-Cyrl-BA" w:eastAsia="bs-Latn-BA"/>
        </w:rPr>
        <w:t>godini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za</w:t>
      </w:r>
      <w:r w:rsidR="00096E7C" w:rsidRPr="00096E7C">
        <w:rPr>
          <w:rFonts w:asciiTheme="majorHAnsi" w:hAnsiTheme="majorHAnsi"/>
          <w:lang w:val="sr-Cyrl-BA" w:eastAsia="bs-Latn-BA"/>
        </w:rPr>
        <w:t xml:space="preserve"> 14,29% </w:t>
      </w:r>
      <w:r>
        <w:rPr>
          <w:rFonts w:asciiTheme="majorHAnsi" w:hAnsiTheme="majorHAnsi"/>
          <w:lang w:val="sr-Cyrl-BA" w:eastAsia="bs-Latn-BA"/>
        </w:rPr>
        <w:t>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odnosu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na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prethodnu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godinu</w:t>
      </w:r>
      <w:r w:rsidR="00096E7C" w:rsidRPr="00096E7C">
        <w:rPr>
          <w:rFonts w:asciiTheme="majorHAnsi" w:hAnsiTheme="majorHAnsi"/>
          <w:lang w:val="sr-Cyrl-BA" w:eastAsia="bs-Latn-BA"/>
        </w:rPr>
        <w:t xml:space="preserve">, </w:t>
      </w:r>
      <w:r>
        <w:rPr>
          <w:rFonts w:asciiTheme="majorHAnsi" w:hAnsiTheme="majorHAnsi"/>
          <w:lang w:val="sr-Cyrl-BA" w:eastAsia="bs-Latn-BA"/>
        </w:rPr>
        <w:t>zbog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predviđenog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povećanja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iznosa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poreza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na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imovinu</w:t>
      </w:r>
      <w:r w:rsidR="00096E7C" w:rsidRPr="00096E7C">
        <w:rPr>
          <w:rFonts w:asciiTheme="majorHAnsi" w:hAnsiTheme="majorHAnsi"/>
          <w:lang w:val="sr-Cyrl-BA" w:eastAsia="bs-Latn-BA"/>
        </w:rPr>
        <w:t xml:space="preserve">. </w:t>
      </w:r>
      <w:r>
        <w:rPr>
          <w:rFonts w:asciiTheme="majorHAnsi" w:hAnsiTheme="majorHAnsi"/>
          <w:lang w:val="sr-Cyrl-BA" w:eastAsia="bs-Latn-BA"/>
        </w:rPr>
        <w:t>Planirani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troškovi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sudskih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administrativnih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taksi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su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takođe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povećani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za</w:t>
      </w:r>
      <w:r w:rsidR="00096E7C" w:rsidRPr="00096E7C">
        <w:rPr>
          <w:rFonts w:asciiTheme="majorHAnsi" w:hAnsiTheme="majorHAnsi"/>
          <w:lang w:val="sr-Cyrl-BA" w:eastAsia="bs-Latn-BA"/>
        </w:rPr>
        <w:t xml:space="preserve"> 1.500 </w:t>
      </w:r>
      <w:r>
        <w:rPr>
          <w:rFonts w:asciiTheme="majorHAnsi" w:hAnsiTheme="majorHAnsi"/>
          <w:lang w:val="sr-Cyrl-BA" w:eastAsia="bs-Latn-BA"/>
        </w:rPr>
        <w:t>KM</w:t>
      </w:r>
      <w:r w:rsidR="00096E7C" w:rsidRPr="00096E7C">
        <w:rPr>
          <w:rFonts w:asciiTheme="majorHAnsi" w:hAnsiTheme="majorHAnsi"/>
          <w:lang w:val="sr-Cyrl-BA" w:eastAsia="bs-Latn-BA"/>
        </w:rPr>
        <w:t xml:space="preserve">, </w:t>
      </w:r>
      <w:r>
        <w:rPr>
          <w:rFonts w:asciiTheme="majorHAnsi" w:hAnsiTheme="majorHAnsi"/>
          <w:lang w:val="sr-Cyrl-BA" w:eastAsia="bs-Latn-BA"/>
        </w:rPr>
        <w:t>imajući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vidu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ostvarenje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ovih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troškova</w:t>
      </w:r>
      <w:r w:rsidR="00096E7C" w:rsidRPr="00096E7C">
        <w:rPr>
          <w:rFonts w:asciiTheme="majorHAnsi" w:hAnsiTheme="majorHAnsi"/>
          <w:lang w:val="sr-Cyrl-BA" w:eastAsia="bs-Latn-BA"/>
        </w:rPr>
        <w:t xml:space="preserve"> </w:t>
      </w:r>
      <w:r>
        <w:rPr>
          <w:rFonts w:asciiTheme="majorHAnsi" w:hAnsiTheme="majorHAnsi"/>
          <w:lang w:val="sr-Cyrl-BA" w:eastAsia="bs-Latn-BA"/>
        </w:rPr>
        <w:t>u</w:t>
      </w:r>
      <w:r w:rsidR="00096E7C" w:rsidRPr="00096E7C">
        <w:rPr>
          <w:rFonts w:asciiTheme="majorHAnsi" w:hAnsiTheme="majorHAnsi"/>
          <w:lang w:val="sr-Cyrl-BA" w:eastAsia="bs-Latn-BA"/>
        </w:rPr>
        <w:t xml:space="preserve"> 2024. </w:t>
      </w:r>
      <w:r>
        <w:rPr>
          <w:rFonts w:asciiTheme="majorHAnsi" w:hAnsiTheme="majorHAnsi"/>
          <w:lang w:val="sr-Cyrl-BA" w:eastAsia="bs-Latn-BA"/>
        </w:rPr>
        <w:t>godini</w:t>
      </w:r>
      <w:r w:rsidR="00096E7C" w:rsidRPr="00096E7C">
        <w:rPr>
          <w:rFonts w:asciiTheme="majorHAnsi" w:hAnsiTheme="majorHAnsi"/>
          <w:lang w:val="sr-Cyrl-BA" w:eastAsia="bs-Latn-BA"/>
        </w:rPr>
        <w:t>.</w:t>
      </w:r>
    </w:p>
    <w:p w:rsidR="00096E7C" w:rsidRPr="00096E7C" w:rsidRDefault="00096E7C" w:rsidP="00096E7C">
      <w:pPr>
        <w:pStyle w:val="Heading5"/>
        <w:tabs>
          <w:tab w:val="left" w:pos="0"/>
        </w:tabs>
        <w:spacing w:before="0" w:after="120"/>
        <w:rPr>
          <w:rFonts w:asciiTheme="majorHAnsi" w:hAnsiTheme="majorHAnsi"/>
          <w:i w:val="0"/>
          <w:sz w:val="24"/>
          <w:szCs w:val="24"/>
          <w:lang w:val="sr-Cyrl-BA"/>
        </w:rPr>
      </w:pPr>
      <w:bookmarkStart w:id="91" w:name="_Toc434497745"/>
      <w:bookmarkStart w:id="92" w:name="_Toc533144512"/>
      <w:bookmarkStart w:id="93" w:name="_Toc60219168"/>
      <w:bookmarkStart w:id="94" w:name="_Toc123118160"/>
      <w:bookmarkStart w:id="95" w:name="_Toc186525905"/>
      <w:bookmarkStart w:id="96" w:name="_Toc405462052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>6.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ab/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Rashodi</w:t>
      </w:r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r w:rsidR="00D502F7">
        <w:rPr>
          <w:rFonts w:asciiTheme="majorHAnsi" w:hAnsiTheme="majorHAnsi"/>
          <w:i w:val="0"/>
          <w:sz w:val="24"/>
          <w:szCs w:val="24"/>
          <w:lang w:val="sr-Cyrl-BA"/>
        </w:rPr>
        <w:t>kamata</w:t>
      </w:r>
      <w:bookmarkEnd w:id="91"/>
      <w:bookmarkEnd w:id="92"/>
      <w:bookmarkEnd w:id="93"/>
      <w:bookmarkEnd w:id="94"/>
      <w:bookmarkEnd w:id="95"/>
      <w:r w:rsidRPr="00096E7C">
        <w:rPr>
          <w:rFonts w:asciiTheme="majorHAnsi" w:hAnsiTheme="majorHAnsi"/>
          <w:i w:val="0"/>
          <w:sz w:val="24"/>
          <w:szCs w:val="24"/>
          <w:lang w:val="sr-Cyrl-BA"/>
        </w:rPr>
        <w:t xml:space="preserve"> </w:t>
      </w:r>
      <w:bookmarkEnd w:id="96"/>
    </w:p>
    <w:p w:rsidR="00096E7C" w:rsidRPr="00096E7C" w:rsidRDefault="00D502F7" w:rsidP="00096E7C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troškovi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</w:t>
      </w:r>
      <w:r w:rsidR="00096E7C" w:rsidRPr="00096E7C">
        <w:rPr>
          <w:rFonts w:asciiTheme="majorHAnsi" w:hAnsiTheme="majorHAnsi"/>
          <w:lang w:val="sr-Cyrl-BA"/>
        </w:rPr>
        <w:t xml:space="preserve"> 109,50 </w:t>
      </w:r>
      <w:r>
        <w:rPr>
          <w:rFonts w:asciiTheme="majorHAnsi" w:hAnsiTheme="majorHAnsi"/>
          <w:lang w:val="sr-Cyrl-BA"/>
        </w:rPr>
        <w:t>KM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koliko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trošak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kamata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2024. </w:t>
      </w:r>
      <w:r>
        <w:rPr>
          <w:rFonts w:asciiTheme="majorHAnsi" w:hAnsiTheme="majorHAnsi"/>
          <w:lang w:val="sr-Cyrl-BA"/>
        </w:rPr>
        <w:t>godinu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iz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otplate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dugoročnog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kredita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pribavlјenog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radi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finansiranja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izgradnje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poslovnog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objekta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Planirano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smanjenje</w:t>
      </w:r>
      <w:r w:rsidR="00C416B3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ovog</w:t>
      </w:r>
      <w:r w:rsidR="00C416B3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troška</w:t>
      </w:r>
      <w:r w:rsidR="00C416B3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iznosi</w:t>
      </w:r>
      <w:r w:rsidR="00C416B3">
        <w:rPr>
          <w:rFonts w:asciiTheme="majorHAnsi" w:hAnsiTheme="majorHAnsi"/>
          <w:lang w:val="sr-Cyrl-BA"/>
        </w:rPr>
        <w:t xml:space="preserve"> 98,86</w:t>
      </w:r>
      <w:r w:rsidR="00096E7C" w:rsidRPr="00096E7C">
        <w:rPr>
          <w:rFonts w:asciiTheme="majorHAnsi" w:hAnsiTheme="majorHAnsi"/>
          <w:lang w:val="sr-Cyrl-BA"/>
        </w:rPr>
        <w:t>%.</w:t>
      </w:r>
    </w:p>
    <w:p w:rsidR="00096E7C" w:rsidRPr="00096E7C" w:rsidRDefault="00D502F7" w:rsidP="001D3B29">
      <w:pPr>
        <w:pStyle w:val="Heading3"/>
        <w:tabs>
          <w:tab w:val="left" w:pos="567"/>
        </w:tabs>
        <w:spacing w:before="480" w:after="240"/>
        <w:rPr>
          <w:rFonts w:asciiTheme="majorHAnsi" w:hAnsiTheme="majorHAnsi"/>
          <w:i/>
          <w:sz w:val="24"/>
          <w:szCs w:val="24"/>
          <w:lang w:val="ru-RU"/>
        </w:rPr>
      </w:pPr>
      <w:bookmarkStart w:id="97" w:name="_Toc182978464"/>
      <w:bookmarkStart w:id="98" w:name="_Toc213819815"/>
      <w:bookmarkStart w:id="99" w:name="_Toc245551596"/>
      <w:bookmarkStart w:id="100" w:name="_Toc405462053"/>
      <w:bookmarkStart w:id="101" w:name="_Toc434497746"/>
      <w:bookmarkStart w:id="102" w:name="_Toc533144513"/>
      <w:bookmarkStart w:id="103" w:name="_Toc60219169"/>
      <w:bookmarkStart w:id="104" w:name="_Toc123118161"/>
      <w:bookmarkStart w:id="105" w:name="_Toc186525906"/>
      <w:r>
        <w:rPr>
          <w:rFonts w:asciiTheme="majorHAnsi" w:hAnsiTheme="majorHAnsi"/>
          <w:i/>
          <w:sz w:val="24"/>
          <w:szCs w:val="24"/>
          <w:lang w:val="sr-Latn-BA"/>
        </w:rPr>
        <w:t>B</w:t>
      </w:r>
      <w:r w:rsidR="00096E7C" w:rsidRPr="00096E7C">
        <w:rPr>
          <w:rFonts w:asciiTheme="majorHAnsi" w:hAnsiTheme="majorHAnsi"/>
          <w:i/>
          <w:sz w:val="24"/>
          <w:szCs w:val="24"/>
          <w:lang w:val="sr-Latn-BA"/>
        </w:rPr>
        <w:t xml:space="preserve">.  </w:t>
      </w:r>
      <w:bookmarkEnd w:id="97"/>
      <w:bookmarkEnd w:id="98"/>
      <w:bookmarkEnd w:id="99"/>
      <w:bookmarkEnd w:id="100"/>
      <w:r>
        <w:rPr>
          <w:rFonts w:asciiTheme="majorHAnsi" w:hAnsiTheme="majorHAnsi"/>
          <w:i/>
          <w:sz w:val="24"/>
          <w:szCs w:val="24"/>
          <w:lang w:val="sr-Latn-BA"/>
        </w:rPr>
        <w:t>INVESTICIONA</w:t>
      </w:r>
      <w:r w:rsidR="00096E7C" w:rsidRPr="00096E7C">
        <w:rPr>
          <w:rFonts w:asciiTheme="majorHAnsi" w:hAnsiTheme="majorHAnsi"/>
          <w:i/>
          <w:sz w:val="24"/>
          <w:szCs w:val="24"/>
          <w:lang w:val="sr-Latn-BA"/>
        </w:rPr>
        <w:t xml:space="preserve"> </w:t>
      </w:r>
      <w:r>
        <w:rPr>
          <w:rFonts w:asciiTheme="majorHAnsi" w:hAnsiTheme="majorHAnsi"/>
          <w:i/>
          <w:sz w:val="24"/>
          <w:szCs w:val="24"/>
          <w:lang w:val="sr-Latn-BA"/>
        </w:rPr>
        <w:t>ULAGANјA</w:t>
      </w:r>
      <w:bookmarkEnd w:id="101"/>
      <w:bookmarkEnd w:id="102"/>
      <w:bookmarkEnd w:id="103"/>
      <w:bookmarkEnd w:id="104"/>
      <w:bookmarkEnd w:id="105"/>
    </w:p>
    <w:p w:rsidR="00096E7C" w:rsidRPr="00096E7C" w:rsidRDefault="00D502F7" w:rsidP="00096E7C">
      <w:pPr>
        <w:tabs>
          <w:tab w:val="left" w:pos="0"/>
        </w:tabs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Iskazani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investicionih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ulaganja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zbirno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Latn-BA"/>
        </w:rPr>
        <w:t>obuhvata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ru-RU"/>
        </w:rPr>
        <w:t>servisiranje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glavnice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odobrenog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dugoročnog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kredita</w:t>
      </w:r>
      <w:r w:rsidR="00096E7C" w:rsidRPr="00096E7C">
        <w:rPr>
          <w:rFonts w:asciiTheme="majorHAnsi" w:hAnsiTheme="majorHAnsi"/>
          <w:lang w:val="ru-RU"/>
        </w:rPr>
        <w:t xml:space="preserve">, </w:t>
      </w:r>
      <w:r>
        <w:rPr>
          <w:rFonts w:asciiTheme="majorHAnsi" w:hAnsiTheme="majorHAnsi"/>
          <w:lang w:val="ru-RU"/>
        </w:rPr>
        <w:t>pribavlјenog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radi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finansiranja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izgradnje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poslovne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zgrade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Regulatorne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komisije</w:t>
      </w:r>
      <w:r w:rsidR="00096E7C" w:rsidRPr="00096E7C">
        <w:rPr>
          <w:rFonts w:asciiTheme="majorHAnsi" w:hAnsiTheme="majorHAnsi"/>
          <w:lang w:val="ru-RU"/>
        </w:rPr>
        <w:t xml:space="preserve">, </w:t>
      </w:r>
      <w:r>
        <w:rPr>
          <w:rFonts w:asciiTheme="majorHAnsi" w:hAnsiTheme="majorHAnsi"/>
          <w:lang w:val="ru-RU"/>
        </w:rPr>
        <w:t>nabavku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opreme</w:t>
      </w:r>
      <w:r w:rsidR="00096E7C" w:rsidRPr="00096E7C">
        <w:rPr>
          <w:rFonts w:asciiTheme="majorHAnsi" w:hAnsiTheme="majorHAnsi"/>
          <w:lang w:val="ru-RU"/>
        </w:rPr>
        <w:t xml:space="preserve"> </w:t>
      </w:r>
      <w:r>
        <w:rPr>
          <w:rFonts w:asciiTheme="majorHAnsi" w:hAnsiTheme="majorHAnsi"/>
          <w:lang w:val="ru-RU"/>
        </w:rPr>
        <w:t>i</w:t>
      </w:r>
      <w:r w:rsidR="00096E7C" w:rsidRPr="00096E7C">
        <w:rPr>
          <w:rFonts w:asciiTheme="majorHAnsi" w:hAnsiTheme="majorHAnsi"/>
          <w:lang w:val="ru-RU"/>
        </w:rPr>
        <w:t xml:space="preserve">  </w:t>
      </w:r>
      <w:r>
        <w:rPr>
          <w:rFonts w:asciiTheme="majorHAnsi" w:hAnsiTheme="majorHAnsi"/>
          <w:lang w:val="sr-Cyrl-BA"/>
        </w:rPr>
        <w:t>nematerijalnih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sredstava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tj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licenci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softvera</w:t>
      </w:r>
      <w:r w:rsidR="00096E7C" w:rsidRPr="00096E7C">
        <w:rPr>
          <w:rFonts w:asciiTheme="majorHAnsi" w:hAnsiTheme="majorHAnsi"/>
          <w:lang w:val="sr-Cyrl-BA"/>
        </w:rPr>
        <w:t xml:space="preserve">. </w:t>
      </w:r>
    </w:p>
    <w:p w:rsidR="00096E7C" w:rsidRPr="00096E7C" w:rsidRDefault="00096E7C" w:rsidP="00096E7C">
      <w:pPr>
        <w:pStyle w:val="Heading5"/>
        <w:rPr>
          <w:rFonts w:asciiTheme="majorHAnsi" w:hAnsiTheme="majorHAnsi"/>
          <w:i w:val="0"/>
          <w:sz w:val="24"/>
          <w:szCs w:val="24"/>
        </w:rPr>
      </w:pPr>
      <w:bookmarkStart w:id="106" w:name="_Toc405462054"/>
      <w:bookmarkStart w:id="107" w:name="_Toc434497747"/>
      <w:bookmarkStart w:id="108" w:name="_Toc533144514"/>
      <w:bookmarkStart w:id="109" w:name="_Toc60219170"/>
      <w:bookmarkStart w:id="110" w:name="_Toc123118162"/>
      <w:bookmarkStart w:id="111" w:name="_Toc186525907"/>
      <w:r w:rsidRPr="00096E7C">
        <w:rPr>
          <w:rFonts w:asciiTheme="majorHAnsi" w:hAnsiTheme="majorHAnsi"/>
          <w:i w:val="0"/>
          <w:sz w:val="24"/>
          <w:szCs w:val="24"/>
        </w:rPr>
        <w:t xml:space="preserve">1.          </w:t>
      </w:r>
      <w:r w:rsidR="00D502F7">
        <w:rPr>
          <w:rFonts w:asciiTheme="majorHAnsi" w:hAnsiTheme="majorHAnsi"/>
          <w:i w:val="0"/>
          <w:sz w:val="24"/>
          <w:szCs w:val="24"/>
        </w:rPr>
        <w:t>Nematerijalna</w:t>
      </w:r>
      <w:r w:rsidRPr="00096E7C">
        <w:rPr>
          <w:rFonts w:asciiTheme="majorHAnsi" w:hAnsiTheme="majorHAnsi"/>
          <w:i w:val="0"/>
          <w:sz w:val="24"/>
          <w:szCs w:val="24"/>
        </w:rPr>
        <w:t xml:space="preserve"> </w:t>
      </w:r>
      <w:bookmarkEnd w:id="106"/>
      <w:bookmarkEnd w:id="107"/>
      <w:bookmarkEnd w:id="108"/>
      <w:bookmarkEnd w:id="109"/>
      <w:bookmarkEnd w:id="110"/>
      <w:r w:rsidR="00D502F7">
        <w:rPr>
          <w:rFonts w:asciiTheme="majorHAnsi" w:hAnsiTheme="majorHAnsi"/>
          <w:i w:val="0"/>
          <w:sz w:val="24"/>
          <w:szCs w:val="24"/>
        </w:rPr>
        <w:t>sredstva</w:t>
      </w:r>
      <w:bookmarkEnd w:id="111"/>
    </w:p>
    <w:p w:rsidR="00096E7C" w:rsidRPr="00096E7C" w:rsidRDefault="00D502F7" w:rsidP="00096E7C">
      <w:pPr>
        <w:spacing w:after="24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CS"/>
        </w:rPr>
        <w:t>Ulaganja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nematerijalna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sredstva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BA"/>
        </w:rPr>
        <w:t>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istom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kao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2024.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bs-Latn-BA"/>
        </w:rPr>
        <w:t xml:space="preserve">, </w:t>
      </w:r>
      <w:r w:rsidRPr="00D502F7">
        <w:rPr>
          <w:rFonts w:asciiTheme="majorHAnsi" w:hAnsiTheme="majorHAnsi"/>
        </w:rPr>
        <w:t>na</w:t>
      </w:r>
      <w:r w:rsidR="00096E7C" w:rsidRPr="00D502F7">
        <w:rPr>
          <w:rFonts w:asciiTheme="majorHAnsi" w:hAnsiTheme="majorHAnsi"/>
        </w:rPr>
        <w:t xml:space="preserve"> </w:t>
      </w:r>
      <w:r w:rsidRPr="00D502F7">
        <w:rPr>
          <w:rFonts w:asciiTheme="majorHAnsi" w:hAnsiTheme="majorHAnsi"/>
        </w:rPr>
        <w:t>osnovu</w:t>
      </w:r>
      <w:r w:rsidR="00096E7C" w:rsidRPr="00D502F7">
        <w:rPr>
          <w:rFonts w:asciiTheme="majorHAnsi" w:hAnsiTheme="majorHAnsi"/>
        </w:rPr>
        <w:t xml:space="preserve"> </w:t>
      </w:r>
      <w:r>
        <w:rPr>
          <w:rFonts w:asciiTheme="majorHAnsi" w:hAnsiTheme="majorHAnsi"/>
          <w:lang w:val="sr-Cyrl-BA"/>
        </w:rPr>
        <w:t>potpisanih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 w:rsidRPr="00D502F7">
        <w:rPr>
          <w:rFonts w:asciiTheme="majorHAnsi" w:hAnsiTheme="majorHAnsi"/>
        </w:rPr>
        <w:t>ugovor</w:t>
      </w:r>
      <w:r>
        <w:rPr>
          <w:rFonts w:asciiTheme="majorHAnsi" w:hAnsiTheme="majorHAnsi"/>
          <w:lang w:val="sr-Cyrl-BA"/>
        </w:rPr>
        <w:t>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dobavlјačima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nematerijalnih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sredstava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nakon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sprovedenih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postupaka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javnih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nabavki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pitanju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održavanje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softverskih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licenci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u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lokalnoj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ra</w:t>
      </w:r>
      <w:r w:rsidRPr="00D502F7">
        <w:rPr>
          <w:rFonts w:asciiTheme="majorHAnsi" w:hAnsiTheme="majorHAnsi"/>
          <w:lang w:val="sr-Cyrl-BA"/>
        </w:rPr>
        <w:t>č</w:t>
      </w:r>
      <w:r>
        <w:rPr>
          <w:rFonts w:asciiTheme="majorHAnsi" w:hAnsiTheme="majorHAnsi"/>
          <w:lang w:val="ru-RU"/>
        </w:rPr>
        <w:t>unarskoj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mre</w:t>
      </w:r>
      <w:r w:rsidRPr="00D502F7">
        <w:rPr>
          <w:rFonts w:asciiTheme="majorHAnsi" w:hAnsiTheme="majorHAnsi"/>
          <w:lang w:val="sr-Cyrl-BA"/>
        </w:rPr>
        <w:t>ž</w:t>
      </w:r>
      <w:r>
        <w:rPr>
          <w:rFonts w:asciiTheme="majorHAnsi" w:hAnsiTheme="majorHAnsi"/>
          <w:lang w:val="ru-RU"/>
        </w:rPr>
        <w:t>i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Regulatorne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komisije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i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odr</w:t>
      </w:r>
      <w:r w:rsidRPr="00D502F7">
        <w:rPr>
          <w:rFonts w:asciiTheme="majorHAnsi" w:hAnsiTheme="majorHAnsi"/>
          <w:lang w:val="sr-Cyrl-BA"/>
        </w:rPr>
        <w:t>ž</w:t>
      </w:r>
      <w:r>
        <w:rPr>
          <w:rFonts w:asciiTheme="majorHAnsi" w:hAnsiTheme="majorHAnsi"/>
          <w:lang w:val="ru-RU"/>
        </w:rPr>
        <w:t>avanje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licence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za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rad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sistema</w:t>
      </w:r>
      <w:r w:rsidR="001D3B29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za</w:t>
      </w:r>
      <w:r w:rsidR="001D3B29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elektronsko</w:t>
      </w:r>
      <w:r w:rsidR="001D3B29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upravl</w:t>
      </w:r>
      <w:r w:rsidRPr="00D502F7">
        <w:rPr>
          <w:rFonts w:asciiTheme="majorHAnsi" w:hAnsiTheme="majorHAnsi"/>
          <w:lang w:val="sr-Cyrl-BA"/>
        </w:rPr>
        <w:t>ј</w:t>
      </w:r>
      <w:r>
        <w:rPr>
          <w:rFonts w:asciiTheme="majorHAnsi" w:hAnsiTheme="majorHAnsi"/>
          <w:lang w:val="ru-RU"/>
        </w:rPr>
        <w:t>anje</w:t>
      </w:r>
      <w:r w:rsidR="001D3B29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dokumentacijom</w:t>
      </w:r>
      <w:r w:rsidR="001D3B29" w:rsidRPr="00D502F7">
        <w:rPr>
          <w:rFonts w:asciiTheme="majorHAnsi" w:hAnsiTheme="majorHAnsi"/>
          <w:lang w:val="sr-Cyrl-BA"/>
        </w:rPr>
        <w:t xml:space="preserve"> (</w:t>
      </w:r>
      <w:r>
        <w:rPr>
          <w:rFonts w:asciiTheme="majorHAnsi" w:hAnsiTheme="majorHAnsi"/>
          <w:lang w:val="ru-RU"/>
        </w:rPr>
        <w:t>eDMS</w:t>
      </w:r>
      <w:r w:rsidR="001D3B29" w:rsidRPr="00D502F7">
        <w:rPr>
          <w:rFonts w:asciiTheme="majorHAnsi" w:hAnsiTheme="majorHAnsi"/>
          <w:lang w:val="sr-Cyrl-BA"/>
        </w:rPr>
        <w:t>)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u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Regulatornoj</w:t>
      </w:r>
      <w:r w:rsidR="00096E7C" w:rsidRPr="00D502F7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ru-RU"/>
        </w:rPr>
        <w:t>komisiji</w:t>
      </w:r>
      <w:r w:rsidR="00096E7C" w:rsidRPr="00D502F7">
        <w:rPr>
          <w:rFonts w:asciiTheme="majorHAnsi" w:hAnsiTheme="majorHAnsi"/>
          <w:lang w:val="sr-Cyrl-BA"/>
        </w:rPr>
        <w:t xml:space="preserve">. </w:t>
      </w:r>
    </w:p>
    <w:p w:rsidR="00096E7C" w:rsidRPr="00096E7C" w:rsidRDefault="00096E7C" w:rsidP="00096E7C">
      <w:pPr>
        <w:pStyle w:val="Heading5"/>
        <w:rPr>
          <w:rFonts w:asciiTheme="majorHAnsi" w:hAnsiTheme="majorHAnsi"/>
          <w:i w:val="0"/>
          <w:sz w:val="24"/>
        </w:rPr>
      </w:pPr>
      <w:bookmarkStart w:id="112" w:name="_Toc186525908"/>
      <w:bookmarkStart w:id="113" w:name="_Toc123118164"/>
      <w:r w:rsidRPr="00096E7C">
        <w:rPr>
          <w:rFonts w:asciiTheme="majorHAnsi" w:hAnsiTheme="majorHAnsi"/>
          <w:i w:val="0"/>
          <w:sz w:val="24"/>
        </w:rPr>
        <w:t xml:space="preserve">2.          </w:t>
      </w:r>
      <w:r w:rsidR="00D502F7">
        <w:rPr>
          <w:rFonts w:asciiTheme="majorHAnsi" w:hAnsiTheme="majorHAnsi"/>
          <w:i w:val="0"/>
          <w:sz w:val="24"/>
        </w:rPr>
        <w:t>Oprema</w:t>
      </w:r>
      <w:bookmarkEnd w:id="112"/>
    </w:p>
    <w:p w:rsidR="00096E7C" w:rsidRPr="00096E7C" w:rsidRDefault="00096E7C" w:rsidP="00096E7C">
      <w:pPr>
        <w:jc w:val="both"/>
        <w:rPr>
          <w:rFonts w:asciiTheme="majorHAnsi" w:hAnsiTheme="majorHAnsi"/>
          <w:lang w:val="sr-Cyrl-BA"/>
        </w:rPr>
      </w:pPr>
    </w:p>
    <w:p w:rsidR="00096E7C" w:rsidRPr="00096E7C" w:rsidRDefault="00D502F7" w:rsidP="00096E7C">
      <w:pPr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odnosu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prethodne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godine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2025.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planiran</w:t>
      </w:r>
      <w:r w:rsidR="00096E7C" w:rsidRPr="00096E7C">
        <w:rPr>
          <w:rFonts w:asciiTheme="majorHAnsi" w:hAnsiTheme="majorHAnsi"/>
          <w:lang w:val="sr-Latn-BA"/>
        </w:rPr>
        <w:t xml:space="preserve">o </w:t>
      </w:r>
      <w:r>
        <w:rPr>
          <w:rFonts w:asciiTheme="majorHAnsi" w:hAnsiTheme="majorHAnsi"/>
          <w:lang w:val="sr-Cyrl-BA"/>
        </w:rPr>
        <w:t>zanavlјanje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računarske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opreme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ostale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opreme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vezi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solarne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elektrane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instalirana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krovu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zgrade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2014. </w:t>
      </w:r>
      <w:r>
        <w:rPr>
          <w:rFonts w:asciiTheme="majorHAnsi" w:hAnsiTheme="majorHAnsi"/>
          <w:lang w:val="sr-Cyrl-BA"/>
        </w:rPr>
        <w:t>godine</w:t>
      </w:r>
      <w:r w:rsidR="00096E7C" w:rsidRPr="00096E7C">
        <w:rPr>
          <w:rFonts w:asciiTheme="majorHAnsi" w:hAnsiTheme="majorHAnsi"/>
          <w:lang w:val="sr-Cyrl-BA"/>
        </w:rPr>
        <w:t xml:space="preserve">.  </w:t>
      </w:r>
    </w:p>
    <w:p w:rsidR="00096E7C" w:rsidRPr="00D502F7" w:rsidRDefault="00096E7C" w:rsidP="00096E7C">
      <w:pPr>
        <w:pStyle w:val="Heading5"/>
        <w:rPr>
          <w:rFonts w:asciiTheme="majorHAnsi" w:hAnsiTheme="majorHAnsi"/>
          <w:i w:val="0"/>
          <w:sz w:val="24"/>
        </w:rPr>
      </w:pPr>
      <w:bookmarkStart w:id="114" w:name="_Toc186525909"/>
      <w:r w:rsidRPr="00D502F7">
        <w:rPr>
          <w:rFonts w:asciiTheme="majorHAnsi" w:hAnsiTheme="majorHAnsi"/>
          <w:i w:val="0"/>
          <w:sz w:val="24"/>
        </w:rPr>
        <w:t xml:space="preserve">3.          </w:t>
      </w:r>
      <w:r w:rsidR="00D502F7" w:rsidRPr="00D502F7">
        <w:rPr>
          <w:rFonts w:asciiTheme="majorHAnsi" w:hAnsiTheme="majorHAnsi"/>
          <w:i w:val="0"/>
          <w:sz w:val="24"/>
        </w:rPr>
        <w:t>Dio</w:t>
      </w:r>
      <w:r w:rsidRPr="00D502F7">
        <w:rPr>
          <w:rFonts w:asciiTheme="majorHAnsi" w:hAnsiTheme="majorHAnsi"/>
          <w:i w:val="0"/>
          <w:sz w:val="24"/>
        </w:rPr>
        <w:t xml:space="preserve"> </w:t>
      </w:r>
      <w:r w:rsidR="00D502F7" w:rsidRPr="00D502F7">
        <w:rPr>
          <w:rFonts w:asciiTheme="majorHAnsi" w:hAnsiTheme="majorHAnsi"/>
          <w:i w:val="0"/>
          <w:sz w:val="24"/>
        </w:rPr>
        <w:t>anuiteta</w:t>
      </w:r>
      <w:r w:rsidRPr="00D502F7">
        <w:rPr>
          <w:rFonts w:asciiTheme="majorHAnsi" w:hAnsiTheme="majorHAnsi"/>
          <w:i w:val="0"/>
          <w:sz w:val="24"/>
        </w:rPr>
        <w:t xml:space="preserve"> </w:t>
      </w:r>
      <w:r w:rsidR="00D502F7" w:rsidRPr="00D502F7">
        <w:rPr>
          <w:rFonts w:asciiTheme="majorHAnsi" w:hAnsiTheme="majorHAnsi"/>
          <w:i w:val="0"/>
          <w:sz w:val="24"/>
        </w:rPr>
        <w:t>koji</w:t>
      </w:r>
      <w:r w:rsidRPr="00D502F7">
        <w:rPr>
          <w:rFonts w:asciiTheme="majorHAnsi" w:hAnsiTheme="majorHAnsi"/>
          <w:i w:val="0"/>
          <w:sz w:val="24"/>
        </w:rPr>
        <w:t xml:space="preserve"> </w:t>
      </w:r>
      <w:r w:rsidR="00D502F7" w:rsidRPr="00D502F7">
        <w:rPr>
          <w:rFonts w:asciiTheme="majorHAnsi" w:hAnsiTheme="majorHAnsi"/>
          <w:i w:val="0"/>
          <w:sz w:val="24"/>
        </w:rPr>
        <w:t>se</w:t>
      </w:r>
      <w:r w:rsidRPr="00D502F7">
        <w:rPr>
          <w:rFonts w:asciiTheme="majorHAnsi" w:hAnsiTheme="majorHAnsi"/>
          <w:i w:val="0"/>
          <w:sz w:val="24"/>
        </w:rPr>
        <w:t xml:space="preserve"> </w:t>
      </w:r>
      <w:r w:rsidR="00D502F7" w:rsidRPr="00D502F7">
        <w:rPr>
          <w:rFonts w:asciiTheme="majorHAnsi" w:hAnsiTheme="majorHAnsi"/>
          <w:i w:val="0"/>
          <w:sz w:val="24"/>
        </w:rPr>
        <w:t>odnosi</w:t>
      </w:r>
      <w:r w:rsidRPr="00D502F7">
        <w:rPr>
          <w:rFonts w:asciiTheme="majorHAnsi" w:hAnsiTheme="majorHAnsi"/>
          <w:i w:val="0"/>
          <w:sz w:val="24"/>
        </w:rPr>
        <w:t xml:space="preserve"> </w:t>
      </w:r>
      <w:r w:rsidR="00D502F7" w:rsidRPr="00D502F7">
        <w:rPr>
          <w:rFonts w:asciiTheme="majorHAnsi" w:hAnsiTheme="majorHAnsi"/>
          <w:i w:val="0"/>
          <w:sz w:val="24"/>
        </w:rPr>
        <w:t>na</w:t>
      </w:r>
      <w:r w:rsidRPr="00D502F7">
        <w:rPr>
          <w:rFonts w:asciiTheme="majorHAnsi" w:hAnsiTheme="majorHAnsi"/>
          <w:i w:val="0"/>
          <w:sz w:val="24"/>
        </w:rPr>
        <w:t xml:space="preserve"> </w:t>
      </w:r>
      <w:r w:rsidR="00D502F7" w:rsidRPr="00D502F7">
        <w:rPr>
          <w:rFonts w:asciiTheme="majorHAnsi" w:hAnsiTheme="majorHAnsi"/>
          <w:i w:val="0"/>
          <w:sz w:val="24"/>
        </w:rPr>
        <w:t>glavnicu</w:t>
      </w:r>
      <w:r w:rsidRPr="00D502F7">
        <w:rPr>
          <w:rFonts w:asciiTheme="majorHAnsi" w:hAnsiTheme="majorHAnsi"/>
          <w:i w:val="0"/>
          <w:sz w:val="24"/>
        </w:rPr>
        <w:t xml:space="preserve"> </w:t>
      </w:r>
      <w:r w:rsidR="00D502F7" w:rsidRPr="00D502F7">
        <w:rPr>
          <w:rFonts w:asciiTheme="majorHAnsi" w:hAnsiTheme="majorHAnsi"/>
          <w:i w:val="0"/>
          <w:sz w:val="24"/>
        </w:rPr>
        <w:t>kredita</w:t>
      </w:r>
      <w:bookmarkEnd w:id="113"/>
      <w:bookmarkEnd w:id="114"/>
    </w:p>
    <w:p w:rsidR="00096E7C" w:rsidRPr="00096E7C" w:rsidRDefault="00096E7C" w:rsidP="00096E7C">
      <w:pPr>
        <w:jc w:val="both"/>
        <w:rPr>
          <w:rFonts w:asciiTheme="majorHAnsi" w:hAnsiTheme="majorHAnsi"/>
          <w:lang w:val="sr-Cyrl-BA"/>
        </w:rPr>
      </w:pPr>
    </w:p>
    <w:p w:rsidR="00096E7C" w:rsidRPr="00096E7C" w:rsidRDefault="00D502F7" w:rsidP="00096E7C">
      <w:pPr>
        <w:jc w:val="both"/>
        <w:rPr>
          <w:rFonts w:asciiTheme="majorHAnsi" w:hAnsiTheme="majorHAnsi"/>
          <w:lang w:val="sr-Cyrl-CS"/>
        </w:rPr>
      </w:pP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servisiranje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glavnice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kredita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kojim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finansirana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izgradnja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nove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poslovne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zgrade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2025. </w:t>
      </w:r>
      <w:r>
        <w:rPr>
          <w:rFonts w:asciiTheme="majorHAnsi" w:hAnsiTheme="majorHAnsi"/>
          <w:lang w:val="sr-Cyrl-BA"/>
        </w:rPr>
        <w:t>godini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odnosi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 w:rsidR="00096E7C" w:rsidRPr="00D502F7">
        <w:rPr>
          <w:rFonts w:asciiTheme="majorHAnsi" w:hAnsiTheme="majorHAnsi"/>
          <w:lang w:val="sr-Cyrl-BA"/>
        </w:rPr>
        <w:t xml:space="preserve">22.034 </w:t>
      </w:r>
      <w:r>
        <w:rPr>
          <w:rFonts w:asciiTheme="majorHAnsi" w:hAnsiTheme="majorHAnsi"/>
          <w:lang w:val="ru-RU"/>
        </w:rPr>
        <w:t>KM</w:t>
      </w:r>
      <w:r w:rsidR="00096E7C" w:rsidRPr="00096E7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kako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predviđeno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planom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otplate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dugoročnog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kredita</w:t>
      </w:r>
      <w:r w:rsidR="00096E7C" w:rsidRPr="00096E7C">
        <w:rPr>
          <w:rFonts w:asciiTheme="majorHAnsi" w:hAnsiTheme="majorHAnsi"/>
          <w:lang w:val="sr-Cyrl-CS"/>
        </w:rPr>
        <w:t xml:space="preserve">, </w:t>
      </w:r>
      <w:r>
        <w:rPr>
          <w:rFonts w:asciiTheme="majorHAnsi" w:hAnsiTheme="majorHAnsi"/>
          <w:lang w:val="sr-Cyrl-CS"/>
        </w:rPr>
        <w:t>što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za</w:t>
      </w:r>
      <w:r w:rsidR="00096E7C" w:rsidRPr="00096E7C">
        <w:rPr>
          <w:rFonts w:asciiTheme="majorHAnsi" w:hAnsiTheme="majorHAnsi"/>
          <w:lang w:val="sr-Cyrl-CS"/>
        </w:rPr>
        <w:t xml:space="preserve"> 91,40% </w:t>
      </w:r>
      <w:r>
        <w:rPr>
          <w:rFonts w:asciiTheme="majorHAnsi" w:hAnsiTheme="majorHAnsi"/>
          <w:lang w:val="sr-Cyrl-CS"/>
        </w:rPr>
        <w:t>manje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nego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u</w:t>
      </w:r>
      <w:r w:rsidR="00096E7C" w:rsidRPr="00096E7C">
        <w:rPr>
          <w:rFonts w:asciiTheme="majorHAnsi" w:hAnsiTheme="majorHAnsi"/>
          <w:lang w:val="sr-Cyrl-CS"/>
        </w:rPr>
        <w:t xml:space="preserve"> 2024. </w:t>
      </w:r>
      <w:r>
        <w:rPr>
          <w:rFonts w:asciiTheme="majorHAnsi" w:hAnsiTheme="majorHAnsi"/>
          <w:lang w:val="sr-Cyrl-CS"/>
        </w:rPr>
        <w:t>godini</w:t>
      </w:r>
      <w:r w:rsidR="00096E7C" w:rsidRPr="00096E7C">
        <w:rPr>
          <w:rFonts w:asciiTheme="majorHAnsi" w:hAnsiTheme="majorHAnsi"/>
          <w:lang w:val="sr-Cyrl-CS"/>
        </w:rPr>
        <w:t xml:space="preserve">. </w:t>
      </w:r>
    </w:p>
    <w:p w:rsidR="00096E7C" w:rsidRPr="00096E7C" w:rsidRDefault="00D502F7" w:rsidP="001D3B29">
      <w:pPr>
        <w:spacing w:before="120" w:after="1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Pored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navedenog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knjigovodstvenim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evidencijama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evidentiraju</w:t>
      </w:r>
      <w:r w:rsidR="00096E7C" w:rsidRPr="00096E7C">
        <w:rPr>
          <w:rFonts w:asciiTheme="majorHAnsi" w:hAnsiTheme="majorHAnsi"/>
          <w:lang w:val="sr-Latn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prihodi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rashodi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osnovu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naknade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CS"/>
        </w:rPr>
        <w:t>korišćenje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elektronskog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registra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garancija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o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CS"/>
        </w:rPr>
        <w:t>porijeklu</w:t>
      </w:r>
      <w:r w:rsidR="00096E7C" w:rsidRPr="00096E7C">
        <w:rPr>
          <w:rFonts w:asciiTheme="majorHAnsi" w:hAnsiTheme="majorHAnsi"/>
          <w:lang w:val="sr-Cyrl-CS"/>
        </w:rPr>
        <w:t xml:space="preserve"> </w:t>
      </w:r>
      <w:r>
        <w:rPr>
          <w:rFonts w:asciiTheme="majorHAnsi" w:hAnsiTheme="majorHAnsi"/>
          <w:lang w:val="sr-Cyrl-RS"/>
        </w:rPr>
        <w:t>električne</w:t>
      </w:r>
      <w:r w:rsidR="00096E7C" w:rsidRPr="00096E7C">
        <w:rPr>
          <w:rFonts w:asciiTheme="majorHAnsi" w:hAnsiTheme="majorHAnsi"/>
          <w:lang w:val="sr-Cyrl-RS"/>
        </w:rPr>
        <w:t xml:space="preserve"> </w:t>
      </w:r>
      <w:r>
        <w:rPr>
          <w:rFonts w:asciiTheme="majorHAnsi" w:hAnsiTheme="majorHAnsi"/>
          <w:lang w:val="sr-Cyrl-RS"/>
        </w:rPr>
        <w:t>energije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jednakom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iznosima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koji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nisu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dio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budžeta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>.</w:t>
      </w:r>
    </w:p>
    <w:p w:rsidR="00096E7C" w:rsidRPr="00096E7C" w:rsidRDefault="00D502F7" w:rsidP="001D3B29">
      <w:pPr>
        <w:spacing w:before="120" w:after="1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Naime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odredbom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člana</w:t>
      </w:r>
      <w:r w:rsidR="00096E7C" w:rsidRPr="00096E7C">
        <w:rPr>
          <w:rFonts w:asciiTheme="majorHAnsi" w:hAnsiTheme="majorHAnsi"/>
          <w:lang w:val="sr-Cyrl-BA"/>
        </w:rPr>
        <w:t xml:space="preserve"> 22. </w:t>
      </w:r>
      <w:r>
        <w:rPr>
          <w:rFonts w:asciiTheme="majorHAnsi" w:hAnsiTheme="majorHAnsi"/>
          <w:lang w:val="sr-Cyrl-BA"/>
        </w:rPr>
        <w:t>stav</w:t>
      </w:r>
      <w:r w:rsidR="00096E7C" w:rsidRPr="00096E7C">
        <w:rPr>
          <w:rFonts w:asciiTheme="majorHAnsi" w:hAnsiTheme="majorHAnsi"/>
          <w:lang w:val="sr-Cyrl-BA"/>
        </w:rPr>
        <w:t xml:space="preserve"> 2. </w:t>
      </w:r>
      <w:r>
        <w:rPr>
          <w:rFonts w:asciiTheme="majorHAnsi" w:hAnsiTheme="majorHAnsi"/>
          <w:lang w:val="sr-Cyrl-BA"/>
        </w:rPr>
        <w:t>Zakona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obnovlјivim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izvorima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energije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propisano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uz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saglasnost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Vlade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može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pristupiti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relevantnim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međunarodnim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tijelima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izdavanje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garancija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porijeklu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ili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pristupiti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regionalnim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udruženjima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Energetskoj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zajednici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te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izvršiti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nabavku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opreme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korisničkih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programa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neophodnih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članstvo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tim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tijelima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odredbom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stava</w:t>
      </w:r>
      <w:r w:rsidR="00096E7C" w:rsidRPr="00096E7C">
        <w:rPr>
          <w:rFonts w:asciiTheme="majorHAnsi" w:hAnsiTheme="majorHAnsi"/>
          <w:lang w:val="sr-Cyrl-BA"/>
        </w:rPr>
        <w:t xml:space="preserve"> 3. </w:t>
      </w:r>
      <w:r>
        <w:rPr>
          <w:rFonts w:asciiTheme="majorHAnsi" w:hAnsiTheme="majorHAnsi"/>
          <w:lang w:val="sr-Cyrl-BA"/>
        </w:rPr>
        <w:t>istog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člana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propisano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sredstva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tu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svrhu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obezbjeđuju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naknade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obnovlјive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izvore</w:t>
      </w:r>
      <w:r w:rsidR="00096E7C" w:rsidRPr="00096E7C">
        <w:rPr>
          <w:rFonts w:asciiTheme="majorHAnsi" w:hAnsiTheme="majorHAnsi"/>
          <w:lang w:val="sr-Cyrl-BA"/>
        </w:rPr>
        <w:t xml:space="preserve">. </w:t>
      </w:r>
    </w:p>
    <w:p w:rsidR="00096E7C" w:rsidRPr="00096E7C" w:rsidRDefault="00D502F7" w:rsidP="001D3B29">
      <w:pPr>
        <w:spacing w:before="120" w:after="1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osnovu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ove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odredbe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Vlada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Republike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Srpske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dala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Saglasnost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odluku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zaklјučivanju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ugovora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implementaciju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održavanje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Registra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garancija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porijeklu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električne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učešće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regionalnom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sistemu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izdavanja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garancija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porijeklu</w:t>
      </w:r>
      <w:r w:rsidR="00096E7C" w:rsidRPr="00096E7C">
        <w:rPr>
          <w:rFonts w:asciiTheme="majorHAnsi" w:hAnsiTheme="majorHAnsi"/>
          <w:lang w:val="sr-Cyrl-BA"/>
        </w:rPr>
        <w:t xml:space="preserve">. </w:t>
      </w:r>
      <w:r>
        <w:rPr>
          <w:rFonts w:asciiTheme="majorHAnsi" w:hAnsiTheme="majorHAnsi"/>
          <w:lang w:val="sr-Cyrl-BA"/>
        </w:rPr>
        <w:t>Regulatorna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je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osnovu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pomenute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Saglasnosti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zaklјučila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ugovor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korišćenju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elektronskog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registra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garancija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porijeklu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električne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energije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uspostavlјenog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članice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Energetske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zajednice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kompanijom</w:t>
      </w:r>
      <w:r w:rsidR="00096E7C" w:rsidRPr="00096E7C">
        <w:rPr>
          <w:rFonts w:asciiTheme="majorHAnsi" w:hAnsiTheme="majorHAnsi"/>
          <w:lang w:val="sr-Cyrl-BA"/>
        </w:rPr>
        <w:t xml:space="preserve"> GREXEL </w:t>
      </w:r>
      <w:r w:rsidR="00096E7C" w:rsidRPr="00096E7C">
        <w:rPr>
          <w:rFonts w:asciiTheme="majorHAnsi" w:hAnsiTheme="majorHAnsi"/>
          <w:lang w:val="sr-Latn-BA"/>
        </w:rPr>
        <w:t>Systems OY</w:t>
      </w:r>
      <w:r w:rsidR="00096E7C" w:rsidRPr="00096E7C">
        <w:rPr>
          <w:rFonts w:asciiTheme="majorHAnsi" w:hAnsiTheme="majorHAnsi"/>
          <w:lang w:val="sr-Cyrl-BA"/>
        </w:rPr>
        <w:t>.</w:t>
      </w:r>
    </w:p>
    <w:p w:rsidR="003D6858" w:rsidRPr="00096E7C" w:rsidRDefault="00D502F7" w:rsidP="001D3B29">
      <w:pPr>
        <w:spacing w:before="120" w:after="120"/>
        <w:jc w:val="both"/>
        <w:rPr>
          <w:rFonts w:asciiTheme="majorHAnsi" w:hAnsiTheme="majorHAnsi"/>
          <w:lang w:val="sr-Cyrl-BA"/>
        </w:rPr>
      </w:pPr>
      <w:r>
        <w:rPr>
          <w:rFonts w:asciiTheme="majorHAnsi" w:hAnsiTheme="majorHAnsi"/>
          <w:lang w:val="sr-Cyrl-BA"/>
        </w:rPr>
        <w:t>Operator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sistema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podsticaja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prikuplјa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sredstva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osnovu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naknade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podsticanje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proizvodnje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električne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energije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obnovlјivih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izvora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posebnom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računu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iz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kojih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obezbjeđuju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sredstava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za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funkcionisanje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sistema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izdavanja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garancija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porijeklu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te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ih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uplaćuje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žiro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račun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komisije</w:t>
      </w:r>
      <w:r w:rsidR="00096E7C" w:rsidRPr="00096E7C">
        <w:rPr>
          <w:rFonts w:asciiTheme="majorHAnsi" w:hAnsiTheme="majorHAnsi"/>
          <w:lang w:val="sr-Cyrl-BA"/>
        </w:rPr>
        <w:t xml:space="preserve">, </w:t>
      </w:r>
      <w:r>
        <w:rPr>
          <w:rFonts w:asciiTheme="majorHAnsi" w:hAnsiTheme="majorHAnsi"/>
          <w:lang w:val="sr-Cyrl-BA"/>
        </w:rPr>
        <w:t>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Regulatorna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komisija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potom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sredstva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uplaćuje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pomenutoj</w:t>
      </w:r>
      <w:r w:rsidR="00096E7C" w:rsidRPr="00096E7C">
        <w:rPr>
          <w:rFonts w:asciiTheme="majorHAnsi" w:hAnsiTheme="majorHAnsi"/>
          <w:lang w:val="sr-Cyrl-BA"/>
        </w:rPr>
        <w:t xml:space="preserve"> </w:t>
      </w:r>
      <w:r>
        <w:rPr>
          <w:rFonts w:asciiTheme="majorHAnsi" w:hAnsiTheme="majorHAnsi"/>
          <w:lang w:val="sr-Cyrl-BA"/>
        </w:rPr>
        <w:t>kompaniji</w:t>
      </w:r>
      <w:r w:rsidR="00096E7C" w:rsidRPr="00096E7C">
        <w:rPr>
          <w:rFonts w:asciiTheme="majorHAnsi" w:hAnsiTheme="majorHAnsi"/>
          <w:lang w:val="sr-Cyrl-BA"/>
        </w:rPr>
        <w:t xml:space="preserve"> GREXEL </w:t>
      </w:r>
      <w:r w:rsidR="00096E7C" w:rsidRPr="00096E7C">
        <w:rPr>
          <w:rFonts w:asciiTheme="majorHAnsi" w:hAnsiTheme="majorHAnsi"/>
          <w:lang w:val="sr-Latn-BA"/>
        </w:rPr>
        <w:t>Systems OY</w:t>
      </w:r>
      <w:r w:rsidR="00096E7C" w:rsidRPr="00096E7C">
        <w:rPr>
          <w:rFonts w:asciiTheme="majorHAnsi" w:hAnsiTheme="majorHAnsi"/>
          <w:lang w:val="sr-Cyrl-BA"/>
        </w:rPr>
        <w:t>.</w:t>
      </w:r>
    </w:p>
    <w:p w:rsidR="00096E7C" w:rsidRPr="00096E7C" w:rsidRDefault="00096E7C" w:rsidP="00096E7C">
      <w:pPr>
        <w:jc w:val="both"/>
        <w:rPr>
          <w:rFonts w:asciiTheme="majorHAnsi" w:hAnsiTheme="majorHAnsi" w:cs="Arial"/>
          <w:lang w:val="sr-Cyrl-BA"/>
        </w:rPr>
      </w:pPr>
    </w:p>
    <w:p w:rsidR="0016610F" w:rsidRPr="00096E7C" w:rsidRDefault="00D502F7" w:rsidP="00367718">
      <w:pPr>
        <w:spacing w:before="120" w:after="240"/>
        <w:jc w:val="right"/>
        <w:rPr>
          <w:rFonts w:asciiTheme="majorHAnsi" w:hAnsiTheme="majorHAnsi" w:cs="Arial"/>
          <w:lang w:val="sr-Cyrl-BA"/>
        </w:rPr>
      </w:pPr>
      <w:r>
        <w:rPr>
          <w:rFonts w:asciiTheme="majorHAnsi" w:hAnsiTheme="majorHAnsi" w:cs="Arial"/>
          <w:lang w:val="sr-Cyrl-BA"/>
        </w:rPr>
        <w:t>Predsjednik</w:t>
      </w:r>
    </w:p>
    <w:p w:rsidR="00096E7C" w:rsidRPr="00096E7C" w:rsidRDefault="00096E7C" w:rsidP="00010587">
      <w:pPr>
        <w:jc w:val="right"/>
        <w:rPr>
          <w:rFonts w:asciiTheme="majorHAnsi" w:hAnsiTheme="majorHAnsi" w:cs="Arial"/>
          <w:lang w:val="sr-Cyrl-BA"/>
        </w:rPr>
      </w:pPr>
    </w:p>
    <w:p w:rsidR="0016610F" w:rsidRPr="00096E7C" w:rsidRDefault="00D502F7" w:rsidP="00010587">
      <w:pPr>
        <w:jc w:val="right"/>
        <w:rPr>
          <w:rFonts w:asciiTheme="majorHAnsi" w:hAnsiTheme="majorHAnsi"/>
          <w:lang w:val="sr-Cyrl-BA"/>
        </w:rPr>
      </w:pPr>
      <w:r>
        <w:rPr>
          <w:rFonts w:asciiTheme="majorHAnsi" w:hAnsiTheme="majorHAnsi" w:cs="Arial"/>
          <w:lang w:val="sr-Cyrl-BA"/>
        </w:rPr>
        <w:t>Vladislav</w:t>
      </w:r>
      <w:r w:rsidR="00291582" w:rsidRPr="00096E7C">
        <w:rPr>
          <w:rFonts w:asciiTheme="majorHAnsi" w:hAnsiTheme="majorHAnsi" w:cs="Arial"/>
          <w:lang w:val="sr-Cyrl-BA"/>
        </w:rPr>
        <w:t xml:space="preserve"> </w:t>
      </w:r>
      <w:r>
        <w:rPr>
          <w:rFonts w:asciiTheme="majorHAnsi" w:hAnsiTheme="majorHAnsi" w:cs="Arial"/>
          <w:lang w:val="sr-Cyrl-BA"/>
        </w:rPr>
        <w:t>Vladičić</w:t>
      </w:r>
    </w:p>
    <w:p w:rsidR="0016610F" w:rsidRPr="00096E7C" w:rsidRDefault="0016610F" w:rsidP="00C31C2B">
      <w:pPr>
        <w:jc w:val="both"/>
        <w:rPr>
          <w:rFonts w:asciiTheme="majorHAnsi" w:hAnsiTheme="majorHAnsi"/>
          <w:lang w:val="sr-Cyrl-CS"/>
        </w:rPr>
      </w:pPr>
    </w:p>
    <w:sectPr w:rsidR="0016610F" w:rsidRPr="00096E7C" w:rsidSect="001D3B29">
      <w:headerReference w:type="default" r:id="rId9"/>
      <w:footerReference w:type="even" r:id="rId10"/>
      <w:footerReference w:type="default" r:id="rId11"/>
      <w:pgSz w:w="11907" w:h="16840" w:code="9"/>
      <w:pgMar w:top="1418" w:right="1275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013" w:rsidRDefault="00CB0013">
      <w:r>
        <w:separator/>
      </w:r>
    </w:p>
  </w:endnote>
  <w:endnote w:type="continuationSeparator" w:id="0">
    <w:p w:rsidR="00CB0013" w:rsidRDefault="00CB0013">
      <w:r>
        <w:continuationSeparator/>
      </w:r>
    </w:p>
  </w:endnote>
  <w:endnote w:type="continuationNotice" w:id="1">
    <w:p w:rsidR="00CB0013" w:rsidRDefault="00CB00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2F7" w:rsidRDefault="00D502F7" w:rsidP="002E74C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02F7" w:rsidRDefault="00D502F7" w:rsidP="00AB5A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0A0" w:firstRow="1" w:lastRow="0" w:firstColumn="1" w:lastColumn="0" w:noHBand="0" w:noVBand="0"/>
    </w:tblPr>
    <w:tblGrid>
      <w:gridCol w:w="3883"/>
      <w:gridCol w:w="1251"/>
      <w:gridCol w:w="4080"/>
    </w:tblGrid>
    <w:tr w:rsidR="00D502F7">
      <w:trPr>
        <w:trHeight w:val="151"/>
      </w:trPr>
      <w:tc>
        <w:tcPr>
          <w:tcW w:w="2107" w:type="pct"/>
          <w:tcBorders>
            <w:bottom w:val="single" w:sz="4" w:space="0" w:color="4F81BD"/>
          </w:tcBorders>
        </w:tcPr>
        <w:p w:rsidR="00D502F7" w:rsidRPr="00C61182" w:rsidRDefault="00D502F7">
          <w:pPr>
            <w:pStyle w:val="Header"/>
            <w:rPr>
              <w:rFonts w:ascii="Cambria" w:hAnsi="Cambria"/>
              <w:b/>
              <w:bCs/>
              <w:szCs w:val="24"/>
            </w:rPr>
          </w:pPr>
        </w:p>
      </w:tc>
      <w:tc>
        <w:tcPr>
          <w:tcW w:w="679" w:type="pct"/>
          <w:vMerge w:val="restart"/>
          <w:noWrap/>
          <w:vAlign w:val="center"/>
        </w:tcPr>
        <w:p w:rsidR="00D502F7" w:rsidRPr="00704708" w:rsidRDefault="00D502F7" w:rsidP="00C9117C">
          <w:pPr>
            <w:pStyle w:val="NoSpacing"/>
            <w:jc w:val="center"/>
            <w:rPr>
              <w:color w:val="7F7F7F"/>
              <w:sz w:val="16"/>
              <w:szCs w:val="16"/>
              <w:lang w:val="sr-Cyrl-BA"/>
            </w:rPr>
          </w:pPr>
          <w:r w:rsidRPr="00704708">
            <w:rPr>
              <w:color w:val="7F7F7F"/>
              <w:sz w:val="16"/>
              <w:szCs w:val="16"/>
              <w:lang w:val="sr-Cyrl-BA"/>
            </w:rPr>
            <w:t>Страна</w:t>
          </w:r>
          <w:r>
            <w:rPr>
              <w:color w:val="7F7F7F"/>
              <w:sz w:val="16"/>
              <w:szCs w:val="16"/>
              <w:lang w:val="sr-Cyrl-BA"/>
            </w:rPr>
            <w:t xml:space="preserve"> </w:t>
          </w:r>
          <w:r w:rsidRPr="00704708">
            <w:rPr>
              <w:color w:val="7F7F7F"/>
              <w:sz w:val="16"/>
              <w:szCs w:val="16"/>
            </w:rPr>
            <w:fldChar w:fldCharType="begin"/>
          </w:r>
          <w:r w:rsidRPr="00704708">
            <w:rPr>
              <w:color w:val="7F7F7F"/>
              <w:sz w:val="16"/>
              <w:szCs w:val="16"/>
            </w:rPr>
            <w:instrText xml:space="preserve"> PAGE  \* MERGEFORMAT </w:instrText>
          </w:r>
          <w:r w:rsidRPr="00704708">
            <w:rPr>
              <w:color w:val="7F7F7F"/>
              <w:sz w:val="16"/>
              <w:szCs w:val="16"/>
            </w:rPr>
            <w:fldChar w:fldCharType="separate"/>
          </w:r>
          <w:r w:rsidR="00C4714F">
            <w:rPr>
              <w:noProof/>
              <w:color w:val="7F7F7F"/>
              <w:sz w:val="16"/>
              <w:szCs w:val="16"/>
            </w:rPr>
            <w:t>6</w:t>
          </w:r>
          <w:r w:rsidRPr="00704708">
            <w:rPr>
              <w:color w:val="7F7F7F"/>
              <w:sz w:val="16"/>
              <w:szCs w:val="16"/>
            </w:rPr>
            <w:fldChar w:fldCharType="end"/>
          </w:r>
          <w:r w:rsidRPr="00704708">
            <w:rPr>
              <w:color w:val="7F7F7F"/>
              <w:sz w:val="16"/>
              <w:szCs w:val="16"/>
              <w:lang w:val="sr-Cyrl-BA"/>
            </w:rPr>
            <w:t>/</w:t>
          </w:r>
          <w:r w:rsidR="00CB0013">
            <w:fldChar w:fldCharType="begin"/>
          </w:r>
          <w:r w:rsidR="00CB0013">
            <w:instrText xml:space="preserve"> NUMPAGES  \* MERGEFORMAT </w:instrText>
          </w:r>
          <w:r w:rsidR="00CB0013">
            <w:fldChar w:fldCharType="separate"/>
          </w:r>
          <w:r w:rsidR="00C4714F" w:rsidRPr="00C4714F">
            <w:rPr>
              <w:noProof/>
              <w:color w:val="7F7F7F"/>
              <w:sz w:val="16"/>
              <w:szCs w:val="16"/>
              <w:lang w:val="sr-Cyrl-BA"/>
            </w:rPr>
            <w:t>8</w:t>
          </w:r>
          <w:r w:rsidR="00CB0013">
            <w:rPr>
              <w:noProof/>
              <w:color w:val="7F7F7F"/>
              <w:sz w:val="16"/>
              <w:szCs w:val="16"/>
              <w:lang w:val="sr-Cyrl-BA"/>
            </w:rPr>
            <w:fldChar w:fldCharType="end"/>
          </w:r>
        </w:p>
      </w:tc>
      <w:tc>
        <w:tcPr>
          <w:tcW w:w="2214" w:type="pct"/>
          <w:tcBorders>
            <w:bottom w:val="single" w:sz="4" w:space="0" w:color="4F81BD"/>
          </w:tcBorders>
        </w:tcPr>
        <w:p w:rsidR="00D502F7" w:rsidRPr="00C61182" w:rsidRDefault="00D502F7">
          <w:pPr>
            <w:pStyle w:val="Header"/>
            <w:rPr>
              <w:rFonts w:ascii="Cambria" w:hAnsi="Cambria"/>
              <w:b/>
              <w:bCs/>
              <w:szCs w:val="24"/>
            </w:rPr>
          </w:pPr>
        </w:p>
      </w:tc>
    </w:tr>
    <w:tr w:rsidR="00D502F7">
      <w:trPr>
        <w:trHeight w:val="150"/>
      </w:trPr>
      <w:tc>
        <w:tcPr>
          <w:tcW w:w="2107" w:type="pct"/>
          <w:tcBorders>
            <w:top w:val="single" w:sz="4" w:space="0" w:color="4F81BD"/>
          </w:tcBorders>
        </w:tcPr>
        <w:p w:rsidR="00D502F7" w:rsidRPr="00C61182" w:rsidRDefault="00D502F7">
          <w:pPr>
            <w:pStyle w:val="Header"/>
            <w:rPr>
              <w:rFonts w:ascii="Cambria" w:hAnsi="Cambria"/>
              <w:b/>
              <w:bCs/>
              <w:szCs w:val="24"/>
            </w:rPr>
          </w:pPr>
        </w:p>
      </w:tc>
      <w:tc>
        <w:tcPr>
          <w:tcW w:w="679" w:type="pct"/>
          <w:vMerge/>
        </w:tcPr>
        <w:p w:rsidR="00D502F7" w:rsidRPr="00C61182" w:rsidRDefault="00D502F7">
          <w:pPr>
            <w:pStyle w:val="Header"/>
            <w:jc w:val="center"/>
            <w:rPr>
              <w:rFonts w:ascii="Cambria" w:hAnsi="Cambria"/>
              <w:b/>
              <w:bCs/>
              <w:szCs w:val="24"/>
            </w:rPr>
          </w:pPr>
        </w:p>
      </w:tc>
      <w:tc>
        <w:tcPr>
          <w:tcW w:w="2214" w:type="pct"/>
          <w:tcBorders>
            <w:top w:val="single" w:sz="4" w:space="0" w:color="4F81BD"/>
          </w:tcBorders>
        </w:tcPr>
        <w:p w:rsidR="00D502F7" w:rsidRPr="00C61182" w:rsidRDefault="00D502F7">
          <w:pPr>
            <w:pStyle w:val="Header"/>
            <w:rPr>
              <w:rFonts w:ascii="Cambria" w:hAnsi="Cambria"/>
              <w:b/>
              <w:bCs/>
              <w:szCs w:val="24"/>
            </w:rPr>
          </w:pPr>
        </w:p>
      </w:tc>
    </w:tr>
  </w:tbl>
  <w:p w:rsidR="00D502F7" w:rsidRPr="00A16262" w:rsidRDefault="00D502F7" w:rsidP="00C9117C">
    <w:pPr>
      <w:pStyle w:val="Footer"/>
      <w:ind w:right="360"/>
      <w:rPr>
        <w:rFonts w:ascii="Calibri" w:hAnsi="Calibri"/>
        <w:lang w:val="sr-Cyrl-B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013" w:rsidRDefault="00CB0013">
      <w:r>
        <w:separator/>
      </w:r>
    </w:p>
  </w:footnote>
  <w:footnote w:type="continuationSeparator" w:id="0">
    <w:p w:rsidR="00CB0013" w:rsidRDefault="00CB0013">
      <w:r>
        <w:continuationSeparator/>
      </w:r>
    </w:p>
  </w:footnote>
  <w:footnote w:type="continuationNotice" w:id="1">
    <w:p w:rsidR="00CB0013" w:rsidRDefault="00CB001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2F7" w:rsidRPr="008832CE" w:rsidRDefault="00D502F7" w:rsidP="00294EDE">
    <w:pPr>
      <w:pStyle w:val="Header"/>
      <w:pBdr>
        <w:bottom w:val="single" w:sz="4" w:space="1" w:color="595959"/>
      </w:pBdr>
      <w:jc w:val="center"/>
      <w:rPr>
        <w:rFonts w:asciiTheme="majorHAnsi" w:hAnsiTheme="majorHAnsi"/>
        <w:i/>
        <w:color w:val="548DD4" w:themeColor="text2" w:themeTint="99"/>
        <w:sz w:val="20"/>
        <w:lang w:val="ru-RU"/>
      </w:rPr>
    </w:pPr>
    <w:r>
      <w:rPr>
        <w:rFonts w:asciiTheme="majorHAnsi" w:hAnsiTheme="majorHAnsi"/>
        <w:i/>
        <w:noProof/>
        <w:color w:val="548DD4" w:themeColor="text2" w:themeTint="99"/>
        <w:sz w:val="20"/>
        <w:lang w:val="sr-Cyrl-BA"/>
      </w:rPr>
      <w:t>Приједлог</w:t>
    </w:r>
    <w:r w:rsidRPr="008832CE">
      <w:rPr>
        <w:rFonts w:asciiTheme="majorHAnsi" w:hAnsiTheme="majorHAnsi"/>
        <w:i/>
        <w:noProof/>
        <w:color w:val="548DD4" w:themeColor="text2" w:themeTint="99"/>
        <w:sz w:val="20"/>
        <w:lang w:val="sr-Cyrl-BA"/>
      </w:rPr>
      <w:t xml:space="preserve"> Буџета Регулаторне комисије за енергетику Републике Српске за 20</w:t>
    </w:r>
    <w:r w:rsidRPr="004D3325">
      <w:rPr>
        <w:rFonts w:asciiTheme="majorHAnsi" w:hAnsiTheme="majorHAnsi"/>
        <w:i/>
        <w:noProof/>
        <w:color w:val="548DD4" w:themeColor="text2" w:themeTint="99"/>
        <w:sz w:val="20"/>
        <w:lang w:val="ru-RU"/>
      </w:rPr>
      <w:t>24</w:t>
    </w:r>
    <w:r w:rsidRPr="008832CE">
      <w:rPr>
        <w:rFonts w:asciiTheme="majorHAnsi" w:hAnsiTheme="majorHAnsi"/>
        <w:i/>
        <w:noProof/>
        <w:color w:val="548DD4" w:themeColor="text2" w:themeTint="99"/>
        <w:sz w:val="20"/>
        <w:lang w:val="sr-Cyrl-BA"/>
      </w:rPr>
      <w:t>. годину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782"/>
    <w:multiLevelType w:val="hybridMultilevel"/>
    <w:tmpl w:val="0C8CD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26C0"/>
    <w:multiLevelType w:val="hybridMultilevel"/>
    <w:tmpl w:val="BD1EE0B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A1D4F"/>
    <w:multiLevelType w:val="hybridMultilevel"/>
    <w:tmpl w:val="2E9C83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D2A09"/>
    <w:multiLevelType w:val="hybridMultilevel"/>
    <w:tmpl w:val="01325704"/>
    <w:lvl w:ilvl="0" w:tplc="04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F9C194B"/>
    <w:multiLevelType w:val="hybridMultilevel"/>
    <w:tmpl w:val="2EF6F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73F8E"/>
    <w:multiLevelType w:val="hybridMultilevel"/>
    <w:tmpl w:val="EFC01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5361C"/>
    <w:multiLevelType w:val="hybridMultilevel"/>
    <w:tmpl w:val="022A8692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1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E69565A"/>
    <w:multiLevelType w:val="hybridMultilevel"/>
    <w:tmpl w:val="FBB0139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E5167"/>
    <w:multiLevelType w:val="hybridMultilevel"/>
    <w:tmpl w:val="54908FD2"/>
    <w:lvl w:ilvl="0" w:tplc="EEF000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0EC3988"/>
    <w:multiLevelType w:val="hybridMultilevel"/>
    <w:tmpl w:val="4A1A18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D1552"/>
    <w:multiLevelType w:val="hybridMultilevel"/>
    <w:tmpl w:val="C1A09D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AC5059E"/>
    <w:multiLevelType w:val="hybridMultilevel"/>
    <w:tmpl w:val="669A8A6C"/>
    <w:lvl w:ilvl="0" w:tplc="F1583F72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1001B"/>
    <w:multiLevelType w:val="hybridMultilevel"/>
    <w:tmpl w:val="C57258F6"/>
    <w:lvl w:ilvl="0" w:tplc="18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67E28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2E4005E2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3193090C"/>
    <w:multiLevelType w:val="hybridMultilevel"/>
    <w:tmpl w:val="A7C6EC2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9F53456"/>
    <w:multiLevelType w:val="hybridMultilevel"/>
    <w:tmpl w:val="5756E8F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796F8E"/>
    <w:multiLevelType w:val="hybridMultilevel"/>
    <w:tmpl w:val="F906E5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97743E"/>
    <w:multiLevelType w:val="hybridMultilevel"/>
    <w:tmpl w:val="1B82C2E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CB3E71"/>
    <w:multiLevelType w:val="hybridMultilevel"/>
    <w:tmpl w:val="B4BAE98E"/>
    <w:lvl w:ilvl="0" w:tplc="141A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BB7B1C"/>
    <w:multiLevelType w:val="hybridMultilevel"/>
    <w:tmpl w:val="38348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D63C5D"/>
    <w:multiLevelType w:val="hybridMultilevel"/>
    <w:tmpl w:val="2558065E"/>
    <w:lvl w:ilvl="0" w:tplc="041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48DD1521"/>
    <w:multiLevelType w:val="hybridMultilevel"/>
    <w:tmpl w:val="5BE854A6"/>
    <w:lvl w:ilvl="0" w:tplc="A9721D3A">
      <w:start w:val="2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3" w15:restartNumberingAfterBreak="0">
    <w:nsid w:val="49C560F9"/>
    <w:multiLevelType w:val="hybridMultilevel"/>
    <w:tmpl w:val="C4F6A534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0936FB"/>
    <w:multiLevelType w:val="hybridMultilevel"/>
    <w:tmpl w:val="2318D0AE"/>
    <w:lvl w:ilvl="0" w:tplc="AB3EF0A8">
      <w:start w:val="2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66976"/>
    <w:multiLevelType w:val="hybridMultilevel"/>
    <w:tmpl w:val="4470E5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5A5CC8"/>
    <w:multiLevelType w:val="hybridMultilevel"/>
    <w:tmpl w:val="BAB68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65830"/>
    <w:multiLevelType w:val="hybridMultilevel"/>
    <w:tmpl w:val="4A1A18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433399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586A122C"/>
    <w:multiLevelType w:val="hybridMultilevel"/>
    <w:tmpl w:val="D17283D0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13CAD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 w15:restartNumberingAfterBreak="0">
    <w:nsid w:val="5DDB5C16"/>
    <w:multiLevelType w:val="hybridMultilevel"/>
    <w:tmpl w:val="C1A09D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F0043F4"/>
    <w:multiLevelType w:val="hybridMultilevel"/>
    <w:tmpl w:val="40124B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F728A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60E501F4"/>
    <w:multiLevelType w:val="hybridMultilevel"/>
    <w:tmpl w:val="27984BC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2E422B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63B8591F"/>
    <w:multiLevelType w:val="hybridMultilevel"/>
    <w:tmpl w:val="C73258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93F9D"/>
    <w:multiLevelType w:val="hybridMultilevel"/>
    <w:tmpl w:val="730C0E86"/>
    <w:lvl w:ilvl="0" w:tplc="95402C1A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306F55"/>
    <w:multiLevelType w:val="hybridMultilevel"/>
    <w:tmpl w:val="4A1A18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C83D6B"/>
    <w:multiLevelType w:val="hybridMultilevel"/>
    <w:tmpl w:val="842061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A06ACD"/>
    <w:multiLevelType w:val="hybridMultilevel"/>
    <w:tmpl w:val="D2D0F5A4"/>
    <w:lvl w:ilvl="0" w:tplc="EDE0571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836E9E"/>
    <w:multiLevelType w:val="hybridMultilevel"/>
    <w:tmpl w:val="053C34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CD19AC"/>
    <w:multiLevelType w:val="hybridMultilevel"/>
    <w:tmpl w:val="3A7892F0"/>
    <w:lvl w:ilvl="0" w:tplc="141A000D">
      <w:start w:val="1"/>
      <w:numFmt w:val="bullet"/>
      <w:lvlText w:val=""/>
      <w:lvlJc w:val="left"/>
      <w:pPr>
        <w:ind w:left="1369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43" w15:restartNumberingAfterBreak="0">
    <w:nsid w:val="6FA72527"/>
    <w:multiLevelType w:val="multilevel"/>
    <w:tmpl w:val="B076477E"/>
    <w:lvl w:ilvl="0">
      <w:start w:val="1"/>
      <w:numFmt w:val="none"/>
      <w:lvlText w:val="А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4" w15:restartNumberingAfterBreak="0">
    <w:nsid w:val="712723FF"/>
    <w:multiLevelType w:val="hybridMultilevel"/>
    <w:tmpl w:val="70AE25AA"/>
    <w:lvl w:ilvl="0" w:tplc="AB3EF0A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2E3E96"/>
    <w:multiLevelType w:val="hybridMultilevel"/>
    <w:tmpl w:val="A8C044B4"/>
    <w:lvl w:ilvl="0" w:tplc="141A000D">
      <w:start w:val="1"/>
      <w:numFmt w:val="bullet"/>
      <w:lvlText w:val=""/>
      <w:lvlJc w:val="left"/>
      <w:pPr>
        <w:ind w:left="1369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46" w15:restartNumberingAfterBreak="0">
    <w:nsid w:val="796B48BC"/>
    <w:multiLevelType w:val="hybridMultilevel"/>
    <w:tmpl w:val="60900110"/>
    <w:lvl w:ilvl="0" w:tplc="21D43F5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A7F1C32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rPr>
        <w:rFonts w:cs="Times New Roman" w:hint="default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 w:hint="default"/>
        <w:color w:val="auto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 w:hint="default"/>
      </w:rPr>
    </w:lvl>
  </w:abstractNum>
  <w:abstractNum w:abstractNumId="48" w15:restartNumberingAfterBreak="0">
    <w:nsid w:val="7A8E6266"/>
    <w:multiLevelType w:val="hybridMultilevel"/>
    <w:tmpl w:val="53FA3232"/>
    <w:lvl w:ilvl="0" w:tplc="374E399C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4C07B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A56F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4E3820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D66446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AF696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2125E4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25CC65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59AC886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121A08"/>
    <w:multiLevelType w:val="hybridMultilevel"/>
    <w:tmpl w:val="C1A09D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FCB5F77"/>
    <w:multiLevelType w:val="hybridMultilevel"/>
    <w:tmpl w:val="A356C26A"/>
    <w:lvl w:ilvl="0" w:tplc="A9721D3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23"/>
  </w:num>
  <w:num w:numId="3">
    <w:abstractNumId w:val="24"/>
  </w:num>
  <w:num w:numId="4">
    <w:abstractNumId w:val="50"/>
  </w:num>
  <w:num w:numId="5">
    <w:abstractNumId w:val="18"/>
  </w:num>
  <w:num w:numId="6">
    <w:abstractNumId w:val="49"/>
  </w:num>
  <w:num w:numId="7">
    <w:abstractNumId w:val="19"/>
  </w:num>
  <w:num w:numId="8">
    <w:abstractNumId w:val="11"/>
  </w:num>
  <w:num w:numId="9">
    <w:abstractNumId w:val="33"/>
  </w:num>
  <w:num w:numId="10">
    <w:abstractNumId w:val="22"/>
  </w:num>
  <w:num w:numId="11">
    <w:abstractNumId w:val="40"/>
  </w:num>
  <w:num w:numId="12">
    <w:abstractNumId w:val="34"/>
  </w:num>
  <w:num w:numId="13">
    <w:abstractNumId w:val="5"/>
  </w:num>
  <w:num w:numId="14">
    <w:abstractNumId w:val="6"/>
  </w:num>
  <w:num w:numId="15">
    <w:abstractNumId w:val="8"/>
  </w:num>
  <w:num w:numId="16">
    <w:abstractNumId w:val="38"/>
  </w:num>
  <w:num w:numId="17">
    <w:abstractNumId w:val="26"/>
  </w:num>
  <w:num w:numId="18">
    <w:abstractNumId w:val="20"/>
  </w:num>
  <w:num w:numId="19">
    <w:abstractNumId w:val="27"/>
  </w:num>
  <w:num w:numId="20">
    <w:abstractNumId w:val="37"/>
  </w:num>
  <w:num w:numId="21">
    <w:abstractNumId w:val="47"/>
  </w:num>
  <w:num w:numId="22">
    <w:abstractNumId w:val="4"/>
  </w:num>
  <w:num w:numId="23">
    <w:abstractNumId w:val="0"/>
  </w:num>
  <w:num w:numId="24">
    <w:abstractNumId w:val="47"/>
  </w:num>
  <w:num w:numId="25">
    <w:abstractNumId w:val="47"/>
  </w:num>
  <w:num w:numId="26">
    <w:abstractNumId w:val="3"/>
  </w:num>
  <w:num w:numId="27">
    <w:abstractNumId w:val="25"/>
  </w:num>
  <w:num w:numId="28">
    <w:abstractNumId w:val="41"/>
  </w:num>
  <w:num w:numId="29">
    <w:abstractNumId w:val="2"/>
  </w:num>
  <w:num w:numId="30">
    <w:abstractNumId w:val="48"/>
  </w:num>
  <w:num w:numId="31">
    <w:abstractNumId w:val="21"/>
  </w:num>
  <w:num w:numId="32">
    <w:abstractNumId w:val="9"/>
  </w:num>
  <w:num w:numId="33">
    <w:abstractNumId w:val="16"/>
  </w:num>
  <w:num w:numId="34">
    <w:abstractNumId w:val="28"/>
  </w:num>
  <w:num w:numId="35">
    <w:abstractNumId w:val="13"/>
  </w:num>
  <w:num w:numId="36">
    <w:abstractNumId w:val="43"/>
  </w:num>
  <w:num w:numId="37">
    <w:abstractNumId w:val="35"/>
  </w:num>
  <w:num w:numId="38">
    <w:abstractNumId w:val="30"/>
  </w:num>
  <w:num w:numId="39">
    <w:abstractNumId w:val="14"/>
  </w:num>
  <w:num w:numId="40">
    <w:abstractNumId w:val="39"/>
  </w:num>
  <w:num w:numId="41">
    <w:abstractNumId w:val="17"/>
  </w:num>
  <w:num w:numId="42">
    <w:abstractNumId w:val="10"/>
  </w:num>
  <w:num w:numId="43">
    <w:abstractNumId w:val="44"/>
  </w:num>
  <w:num w:numId="44">
    <w:abstractNumId w:val="47"/>
  </w:num>
  <w:num w:numId="45">
    <w:abstractNumId w:val="46"/>
  </w:num>
  <w:num w:numId="46">
    <w:abstractNumId w:val="47"/>
  </w:num>
  <w:num w:numId="47">
    <w:abstractNumId w:val="42"/>
  </w:num>
  <w:num w:numId="48">
    <w:abstractNumId w:val="45"/>
  </w:num>
  <w:num w:numId="49">
    <w:abstractNumId w:val="36"/>
  </w:num>
  <w:num w:numId="50">
    <w:abstractNumId w:val="29"/>
  </w:num>
  <w:num w:numId="51">
    <w:abstractNumId w:val="31"/>
  </w:num>
  <w:num w:numId="52">
    <w:abstractNumId w:val="7"/>
  </w:num>
  <w:num w:numId="53">
    <w:abstractNumId w:val="1"/>
  </w:num>
  <w:num w:numId="54">
    <w:abstractNumId w:val="15"/>
  </w:num>
  <w:num w:numId="55">
    <w:abstractNumId w:val="32"/>
  </w:num>
  <w:num w:numId="56">
    <w:abstractNumId w:val="47"/>
  </w:num>
  <w:num w:numId="57">
    <w:abstractNumId w:val="12"/>
  </w:num>
  <w:num w:numId="58">
    <w:abstractNumId w:val="47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C3"/>
    <w:rsid w:val="00000A1A"/>
    <w:rsid w:val="000015FC"/>
    <w:rsid w:val="00001BA3"/>
    <w:rsid w:val="00001CAD"/>
    <w:rsid w:val="00002C83"/>
    <w:rsid w:val="0000386E"/>
    <w:rsid w:val="000038CC"/>
    <w:rsid w:val="00003937"/>
    <w:rsid w:val="00003A50"/>
    <w:rsid w:val="00004A4B"/>
    <w:rsid w:val="00004C76"/>
    <w:rsid w:val="00005983"/>
    <w:rsid w:val="0000614F"/>
    <w:rsid w:val="0000647D"/>
    <w:rsid w:val="000067CF"/>
    <w:rsid w:val="00006949"/>
    <w:rsid w:val="00006982"/>
    <w:rsid w:val="00006B7E"/>
    <w:rsid w:val="00006EA3"/>
    <w:rsid w:val="00006FFD"/>
    <w:rsid w:val="000070C7"/>
    <w:rsid w:val="00007462"/>
    <w:rsid w:val="00010587"/>
    <w:rsid w:val="0001083B"/>
    <w:rsid w:val="000117A5"/>
    <w:rsid w:val="00011809"/>
    <w:rsid w:val="00011881"/>
    <w:rsid w:val="00011CC8"/>
    <w:rsid w:val="00012395"/>
    <w:rsid w:val="000126EF"/>
    <w:rsid w:val="00013584"/>
    <w:rsid w:val="00013BFA"/>
    <w:rsid w:val="00014220"/>
    <w:rsid w:val="0001495D"/>
    <w:rsid w:val="0001496F"/>
    <w:rsid w:val="00014C95"/>
    <w:rsid w:val="00015872"/>
    <w:rsid w:val="000158AD"/>
    <w:rsid w:val="00016A43"/>
    <w:rsid w:val="00016C3D"/>
    <w:rsid w:val="00017E4D"/>
    <w:rsid w:val="00020247"/>
    <w:rsid w:val="00020248"/>
    <w:rsid w:val="00020669"/>
    <w:rsid w:val="00021D5A"/>
    <w:rsid w:val="000223E8"/>
    <w:rsid w:val="0002326E"/>
    <w:rsid w:val="0002457B"/>
    <w:rsid w:val="000246A2"/>
    <w:rsid w:val="000256CA"/>
    <w:rsid w:val="000258B7"/>
    <w:rsid w:val="00025E15"/>
    <w:rsid w:val="000265CA"/>
    <w:rsid w:val="00026E5C"/>
    <w:rsid w:val="00026F24"/>
    <w:rsid w:val="00030582"/>
    <w:rsid w:val="00030E19"/>
    <w:rsid w:val="00031819"/>
    <w:rsid w:val="00032AAD"/>
    <w:rsid w:val="00032CA6"/>
    <w:rsid w:val="00033035"/>
    <w:rsid w:val="000333BA"/>
    <w:rsid w:val="000342DE"/>
    <w:rsid w:val="00034825"/>
    <w:rsid w:val="000348D0"/>
    <w:rsid w:val="00034F88"/>
    <w:rsid w:val="000356CC"/>
    <w:rsid w:val="00035789"/>
    <w:rsid w:val="0003585B"/>
    <w:rsid w:val="000358E9"/>
    <w:rsid w:val="0003619A"/>
    <w:rsid w:val="0003668A"/>
    <w:rsid w:val="000368A7"/>
    <w:rsid w:val="00037308"/>
    <w:rsid w:val="000376BE"/>
    <w:rsid w:val="00040842"/>
    <w:rsid w:val="00040902"/>
    <w:rsid w:val="000411B2"/>
    <w:rsid w:val="000413D0"/>
    <w:rsid w:val="000418AA"/>
    <w:rsid w:val="00041A54"/>
    <w:rsid w:val="00041E5B"/>
    <w:rsid w:val="000437DD"/>
    <w:rsid w:val="00043DAD"/>
    <w:rsid w:val="00045381"/>
    <w:rsid w:val="000454D9"/>
    <w:rsid w:val="000462A3"/>
    <w:rsid w:val="000463F5"/>
    <w:rsid w:val="00046418"/>
    <w:rsid w:val="0004652D"/>
    <w:rsid w:val="00046983"/>
    <w:rsid w:val="000472D9"/>
    <w:rsid w:val="00050967"/>
    <w:rsid w:val="00050CBE"/>
    <w:rsid w:val="00050CE1"/>
    <w:rsid w:val="00051255"/>
    <w:rsid w:val="000515F4"/>
    <w:rsid w:val="00051EF8"/>
    <w:rsid w:val="00051F02"/>
    <w:rsid w:val="000526F4"/>
    <w:rsid w:val="00052AFC"/>
    <w:rsid w:val="00052B32"/>
    <w:rsid w:val="00054405"/>
    <w:rsid w:val="00054E71"/>
    <w:rsid w:val="00054EF6"/>
    <w:rsid w:val="000556BC"/>
    <w:rsid w:val="00056274"/>
    <w:rsid w:val="000570B9"/>
    <w:rsid w:val="000571B0"/>
    <w:rsid w:val="00057371"/>
    <w:rsid w:val="00057561"/>
    <w:rsid w:val="00057580"/>
    <w:rsid w:val="00060080"/>
    <w:rsid w:val="000608EC"/>
    <w:rsid w:val="00061C3B"/>
    <w:rsid w:val="00062402"/>
    <w:rsid w:val="00062539"/>
    <w:rsid w:val="000630D4"/>
    <w:rsid w:val="0006387B"/>
    <w:rsid w:val="00063FB9"/>
    <w:rsid w:val="00065387"/>
    <w:rsid w:val="00065540"/>
    <w:rsid w:val="000656A2"/>
    <w:rsid w:val="00066330"/>
    <w:rsid w:val="0006647F"/>
    <w:rsid w:val="00066D1D"/>
    <w:rsid w:val="00066F58"/>
    <w:rsid w:val="00067686"/>
    <w:rsid w:val="00067AA9"/>
    <w:rsid w:val="00067DE2"/>
    <w:rsid w:val="00070113"/>
    <w:rsid w:val="00070259"/>
    <w:rsid w:val="000704A4"/>
    <w:rsid w:val="00070E62"/>
    <w:rsid w:val="00070E6E"/>
    <w:rsid w:val="000711B7"/>
    <w:rsid w:val="00071A58"/>
    <w:rsid w:val="000728E7"/>
    <w:rsid w:val="00072B2C"/>
    <w:rsid w:val="00074528"/>
    <w:rsid w:val="0007496B"/>
    <w:rsid w:val="00074DC8"/>
    <w:rsid w:val="00074E0A"/>
    <w:rsid w:val="000755F9"/>
    <w:rsid w:val="000756D5"/>
    <w:rsid w:val="00075ED8"/>
    <w:rsid w:val="000763C8"/>
    <w:rsid w:val="00076532"/>
    <w:rsid w:val="00076AE3"/>
    <w:rsid w:val="00076F8A"/>
    <w:rsid w:val="00077134"/>
    <w:rsid w:val="00077160"/>
    <w:rsid w:val="0007789E"/>
    <w:rsid w:val="00077F06"/>
    <w:rsid w:val="000801CB"/>
    <w:rsid w:val="000802CB"/>
    <w:rsid w:val="000802CE"/>
    <w:rsid w:val="00080C7F"/>
    <w:rsid w:val="00081AB9"/>
    <w:rsid w:val="00081FD3"/>
    <w:rsid w:val="0008280E"/>
    <w:rsid w:val="000829B4"/>
    <w:rsid w:val="000834CF"/>
    <w:rsid w:val="00083AAA"/>
    <w:rsid w:val="00083B73"/>
    <w:rsid w:val="000841B6"/>
    <w:rsid w:val="00084230"/>
    <w:rsid w:val="0008480F"/>
    <w:rsid w:val="000848D2"/>
    <w:rsid w:val="000852E8"/>
    <w:rsid w:val="0008568B"/>
    <w:rsid w:val="00085D2A"/>
    <w:rsid w:val="00085F92"/>
    <w:rsid w:val="000860A4"/>
    <w:rsid w:val="00086DC8"/>
    <w:rsid w:val="000879AA"/>
    <w:rsid w:val="00090256"/>
    <w:rsid w:val="00090401"/>
    <w:rsid w:val="000906D2"/>
    <w:rsid w:val="00090D66"/>
    <w:rsid w:val="0009119C"/>
    <w:rsid w:val="0009148A"/>
    <w:rsid w:val="0009153C"/>
    <w:rsid w:val="00091547"/>
    <w:rsid w:val="00091B15"/>
    <w:rsid w:val="00092A00"/>
    <w:rsid w:val="00092BDE"/>
    <w:rsid w:val="00093725"/>
    <w:rsid w:val="00093BD7"/>
    <w:rsid w:val="00093D69"/>
    <w:rsid w:val="00094809"/>
    <w:rsid w:val="00094B1F"/>
    <w:rsid w:val="00094EB2"/>
    <w:rsid w:val="0009529E"/>
    <w:rsid w:val="000954DD"/>
    <w:rsid w:val="00095B68"/>
    <w:rsid w:val="00095CF2"/>
    <w:rsid w:val="00095F0C"/>
    <w:rsid w:val="00096532"/>
    <w:rsid w:val="000968E1"/>
    <w:rsid w:val="000969F7"/>
    <w:rsid w:val="00096A82"/>
    <w:rsid w:val="00096D6F"/>
    <w:rsid w:val="00096E7C"/>
    <w:rsid w:val="00097394"/>
    <w:rsid w:val="000973C7"/>
    <w:rsid w:val="000A02BA"/>
    <w:rsid w:val="000A11EE"/>
    <w:rsid w:val="000A1A21"/>
    <w:rsid w:val="000A245F"/>
    <w:rsid w:val="000A297C"/>
    <w:rsid w:val="000A2F48"/>
    <w:rsid w:val="000A2F63"/>
    <w:rsid w:val="000A3075"/>
    <w:rsid w:val="000A3499"/>
    <w:rsid w:val="000A4697"/>
    <w:rsid w:val="000A4D72"/>
    <w:rsid w:val="000A4E0B"/>
    <w:rsid w:val="000A50E6"/>
    <w:rsid w:val="000A5636"/>
    <w:rsid w:val="000A596A"/>
    <w:rsid w:val="000A5C2B"/>
    <w:rsid w:val="000A66A4"/>
    <w:rsid w:val="000A7079"/>
    <w:rsid w:val="000A7296"/>
    <w:rsid w:val="000B020B"/>
    <w:rsid w:val="000B035F"/>
    <w:rsid w:val="000B039D"/>
    <w:rsid w:val="000B0576"/>
    <w:rsid w:val="000B092C"/>
    <w:rsid w:val="000B0F82"/>
    <w:rsid w:val="000B1984"/>
    <w:rsid w:val="000B1BFF"/>
    <w:rsid w:val="000B2D0E"/>
    <w:rsid w:val="000B30FA"/>
    <w:rsid w:val="000B4681"/>
    <w:rsid w:val="000B4C28"/>
    <w:rsid w:val="000B4E4B"/>
    <w:rsid w:val="000B4EEE"/>
    <w:rsid w:val="000B5179"/>
    <w:rsid w:val="000B5556"/>
    <w:rsid w:val="000B5C1B"/>
    <w:rsid w:val="000B6736"/>
    <w:rsid w:val="000B6889"/>
    <w:rsid w:val="000B68FE"/>
    <w:rsid w:val="000B709D"/>
    <w:rsid w:val="000B70A0"/>
    <w:rsid w:val="000B7153"/>
    <w:rsid w:val="000B7BD2"/>
    <w:rsid w:val="000B7CEA"/>
    <w:rsid w:val="000C0A1E"/>
    <w:rsid w:val="000C0DA9"/>
    <w:rsid w:val="000C0E9A"/>
    <w:rsid w:val="000C1FAD"/>
    <w:rsid w:val="000C3269"/>
    <w:rsid w:val="000C41C1"/>
    <w:rsid w:val="000C427C"/>
    <w:rsid w:val="000C42C7"/>
    <w:rsid w:val="000C43FF"/>
    <w:rsid w:val="000C458E"/>
    <w:rsid w:val="000C4894"/>
    <w:rsid w:val="000C5165"/>
    <w:rsid w:val="000C5405"/>
    <w:rsid w:val="000C6584"/>
    <w:rsid w:val="000C65C1"/>
    <w:rsid w:val="000C68CE"/>
    <w:rsid w:val="000C7C28"/>
    <w:rsid w:val="000D0B07"/>
    <w:rsid w:val="000D1714"/>
    <w:rsid w:val="000D1962"/>
    <w:rsid w:val="000D22B6"/>
    <w:rsid w:val="000D2690"/>
    <w:rsid w:val="000D2E4A"/>
    <w:rsid w:val="000D4E98"/>
    <w:rsid w:val="000D552E"/>
    <w:rsid w:val="000D6FB6"/>
    <w:rsid w:val="000D7EDE"/>
    <w:rsid w:val="000E00E4"/>
    <w:rsid w:val="000E0BB9"/>
    <w:rsid w:val="000E169B"/>
    <w:rsid w:val="000E18FC"/>
    <w:rsid w:val="000E1E7F"/>
    <w:rsid w:val="000E265B"/>
    <w:rsid w:val="000E3B69"/>
    <w:rsid w:val="000E3C4B"/>
    <w:rsid w:val="000E486A"/>
    <w:rsid w:val="000E4C82"/>
    <w:rsid w:val="000E5526"/>
    <w:rsid w:val="000E5683"/>
    <w:rsid w:val="000E6720"/>
    <w:rsid w:val="000E67F2"/>
    <w:rsid w:val="000E7AC9"/>
    <w:rsid w:val="000F0E40"/>
    <w:rsid w:val="000F1061"/>
    <w:rsid w:val="000F1175"/>
    <w:rsid w:val="000F1B0C"/>
    <w:rsid w:val="000F22F7"/>
    <w:rsid w:val="000F2770"/>
    <w:rsid w:val="000F293B"/>
    <w:rsid w:val="000F37B0"/>
    <w:rsid w:val="000F38B8"/>
    <w:rsid w:val="000F4D4B"/>
    <w:rsid w:val="000F4F73"/>
    <w:rsid w:val="000F517F"/>
    <w:rsid w:val="000F56B0"/>
    <w:rsid w:val="000F5A6A"/>
    <w:rsid w:val="000F67B8"/>
    <w:rsid w:val="000F6E68"/>
    <w:rsid w:val="000F7219"/>
    <w:rsid w:val="000F72D5"/>
    <w:rsid w:val="000F7F8C"/>
    <w:rsid w:val="001006BC"/>
    <w:rsid w:val="001021EB"/>
    <w:rsid w:val="00102490"/>
    <w:rsid w:val="0010258F"/>
    <w:rsid w:val="001026AE"/>
    <w:rsid w:val="00102A8D"/>
    <w:rsid w:val="00102AAA"/>
    <w:rsid w:val="00104C16"/>
    <w:rsid w:val="00104F9F"/>
    <w:rsid w:val="0010591E"/>
    <w:rsid w:val="00105ADF"/>
    <w:rsid w:val="00105BE7"/>
    <w:rsid w:val="00106F37"/>
    <w:rsid w:val="0010749E"/>
    <w:rsid w:val="001074C4"/>
    <w:rsid w:val="0010772A"/>
    <w:rsid w:val="00110345"/>
    <w:rsid w:val="001103CA"/>
    <w:rsid w:val="00110783"/>
    <w:rsid w:val="00110AC7"/>
    <w:rsid w:val="001114A1"/>
    <w:rsid w:val="00111507"/>
    <w:rsid w:val="001121D6"/>
    <w:rsid w:val="00112334"/>
    <w:rsid w:val="00112D18"/>
    <w:rsid w:val="00112FCB"/>
    <w:rsid w:val="00113AFF"/>
    <w:rsid w:val="00114532"/>
    <w:rsid w:val="001147DB"/>
    <w:rsid w:val="00114919"/>
    <w:rsid w:val="00114A26"/>
    <w:rsid w:val="00114AB1"/>
    <w:rsid w:val="00115381"/>
    <w:rsid w:val="00115CD8"/>
    <w:rsid w:val="00116065"/>
    <w:rsid w:val="00116692"/>
    <w:rsid w:val="00116FE3"/>
    <w:rsid w:val="00117229"/>
    <w:rsid w:val="00117CFF"/>
    <w:rsid w:val="00120D59"/>
    <w:rsid w:val="0012124F"/>
    <w:rsid w:val="001221F6"/>
    <w:rsid w:val="0012253C"/>
    <w:rsid w:val="001226C4"/>
    <w:rsid w:val="00122A2C"/>
    <w:rsid w:val="0012304A"/>
    <w:rsid w:val="001230EF"/>
    <w:rsid w:val="00123D66"/>
    <w:rsid w:val="0012422D"/>
    <w:rsid w:val="00124416"/>
    <w:rsid w:val="00124717"/>
    <w:rsid w:val="00124C34"/>
    <w:rsid w:val="0012538A"/>
    <w:rsid w:val="0012545A"/>
    <w:rsid w:val="00125589"/>
    <w:rsid w:val="00125BE0"/>
    <w:rsid w:val="00125DE5"/>
    <w:rsid w:val="00125F28"/>
    <w:rsid w:val="001264E2"/>
    <w:rsid w:val="00126F8A"/>
    <w:rsid w:val="001279C6"/>
    <w:rsid w:val="00127C9A"/>
    <w:rsid w:val="001301EE"/>
    <w:rsid w:val="00130792"/>
    <w:rsid w:val="00130967"/>
    <w:rsid w:val="0013119A"/>
    <w:rsid w:val="001328E7"/>
    <w:rsid w:val="0013383A"/>
    <w:rsid w:val="0013456C"/>
    <w:rsid w:val="0013541D"/>
    <w:rsid w:val="001355BE"/>
    <w:rsid w:val="00135B63"/>
    <w:rsid w:val="00136261"/>
    <w:rsid w:val="001364F9"/>
    <w:rsid w:val="0013685D"/>
    <w:rsid w:val="00136DE7"/>
    <w:rsid w:val="001404AF"/>
    <w:rsid w:val="001406A0"/>
    <w:rsid w:val="00141604"/>
    <w:rsid w:val="00141E08"/>
    <w:rsid w:val="001425E0"/>
    <w:rsid w:val="00142B20"/>
    <w:rsid w:val="00143B01"/>
    <w:rsid w:val="00143C5E"/>
    <w:rsid w:val="001444DD"/>
    <w:rsid w:val="00144F64"/>
    <w:rsid w:val="00145954"/>
    <w:rsid w:val="00145B4E"/>
    <w:rsid w:val="0014612C"/>
    <w:rsid w:val="00146AA9"/>
    <w:rsid w:val="00146BC1"/>
    <w:rsid w:val="0015021A"/>
    <w:rsid w:val="001502C9"/>
    <w:rsid w:val="001509DA"/>
    <w:rsid w:val="001511FD"/>
    <w:rsid w:val="001524CE"/>
    <w:rsid w:val="0015289E"/>
    <w:rsid w:val="00152AFC"/>
    <w:rsid w:val="00152F0B"/>
    <w:rsid w:val="00153298"/>
    <w:rsid w:val="00153E06"/>
    <w:rsid w:val="00153E93"/>
    <w:rsid w:val="00155251"/>
    <w:rsid w:val="00155488"/>
    <w:rsid w:val="00155A5D"/>
    <w:rsid w:val="00155C2E"/>
    <w:rsid w:val="00155F55"/>
    <w:rsid w:val="001562D4"/>
    <w:rsid w:val="00156404"/>
    <w:rsid w:val="00156583"/>
    <w:rsid w:val="00156887"/>
    <w:rsid w:val="00156C41"/>
    <w:rsid w:val="00156DAA"/>
    <w:rsid w:val="001577C3"/>
    <w:rsid w:val="00157D36"/>
    <w:rsid w:val="0016022B"/>
    <w:rsid w:val="001614E3"/>
    <w:rsid w:val="00161AF9"/>
    <w:rsid w:val="00162398"/>
    <w:rsid w:val="00162548"/>
    <w:rsid w:val="00163133"/>
    <w:rsid w:val="00163145"/>
    <w:rsid w:val="001631B7"/>
    <w:rsid w:val="00163309"/>
    <w:rsid w:val="001633AD"/>
    <w:rsid w:val="00163573"/>
    <w:rsid w:val="00163A6F"/>
    <w:rsid w:val="00164460"/>
    <w:rsid w:val="001647DA"/>
    <w:rsid w:val="00165DC2"/>
    <w:rsid w:val="0016610F"/>
    <w:rsid w:val="00166A18"/>
    <w:rsid w:val="00167F82"/>
    <w:rsid w:val="00170192"/>
    <w:rsid w:val="001705BB"/>
    <w:rsid w:val="001708AC"/>
    <w:rsid w:val="00170F0C"/>
    <w:rsid w:val="001727C9"/>
    <w:rsid w:val="00174D4B"/>
    <w:rsid w:val="0017582D"/>
    <w:rsid w:val="00176395"/>
    <w:rsid w:val="0017684D"/>
    <w:rsid w:val="00177390"/>
    <w:rsid w:val="00177392"/>
    <w:rsid w:val="00177BCD"/>
    <w:rsid w:val="00177FEE"/>
    <w:rsid w:val="001806AF"/>
    <w:rsid w:val="00181556"/>
    <w:rsid w:val="00181A27"/>
    <w:rsid w:val="00181F98"/>
    <w:rsid w:val="0018200F"/>
    <w:rsid w:val="001827C5"/>
    <w:rsid w:val="00182983"/>
    <w:rsid w:val="00182E94"/>
    <w:rsid w:val="00183129"/>
    <w:rsid w:val="0018356B"/>
    <w:rsid w:val="00183881"/>
    <w:rsid w:val="00183CCD"/>
    <w:rsid w:val="00184176"/>
    <w:rsid w:val="00184854"/>
    <w:rsid w:val="001849C3"/>
    <w:rsid w:val="00185294"/>
    <w:rsid w:val="001852C9"/>
    <w:rsid w:val="00185AA5"/>
    <w:rsid w:val="00185AE4"/>
    <w:rsid w:val="00185C08"/>
    <w:rsid w:val="001866AA"/>
    <w:rsid w:val="001877FB"/>
    <w:rsid w:val="00190E54"/>
    <w:rsid w:val="00190E9C"/>
    <w:rsid w:val="00192357"/>
    <w:rsid w:val="00193118"/>
    <w:rsid w:val="00193D79"/>
    <w:rsid w:val="001944F3"/>
    <w:rsid w:val="00194914"/>
    <w:rsid w:val="00194AAF"/>
    <w:rsid w:val="00194C19"/>
    <w:rsid w:val="00194CA9"/>
    <w:rsid w:val="001950B6"/>
    <w:rsid w:val="00195AA8"/>
    <w:rsid w:val="00196323"/>
    <w:rsid w:val="00196D56"/>
    <w:rsid w:val="00196EC8"/>
    <w:rsid w:val="00197302"/>
    <w:rsid w:val="00197890"/>
    <w:rsid w:val="001A021F"/>
    <w:rsid w:val="001A024A"/>
    <w:rsid w:val="001A1622"/>
    <w:rsid w:val="001A1763"/>
    <w:rsid w:val="001A17E3"/>
    <w:rsid w:val="001A20FF"/>
    <w:rsid w:val="001A228F"/>
    <w:rsid w:val="001A22E3"/>
    <w:rsid w:val="001A2363"/>
    <w:rsid w:val="001A2A3B"/>
    <w:rsid w:val="001A3394"/>
    <w:rsid w:val="001A4BDE"/>
    <w:rsid w:val="001A4D22"/>
    <w:rsid w:val="001A4D98"/>
    <w:rsid w:val="001A50BE"/>
    <w:rsid w:val="001A560F"/>
    <w:rsid w:val="001A6E56"/>
    <w:rsid w:val="001A6EDF"/>
    <w:rsid w:val="001A7741"/>
    <w:rsid w:val="001A7CEC"/>
    <w:rsid w:val="001A7E2E"/>
    <w:rsid w:val="001B023A"/>
    <w:rsid w:val="001B059B"/>
    <w:rsid w:val="001B094F"/>
    <w:rsid w:val="001B09E7"/>
    <w:rsid w:val="001B0E73"/>
    <w:rsid w:val="001B1616"/>
    <w:rsid w:val="001B1FDC"/>
    <w:rsid w:val="001B2316"/>
    <w:rsid w:val="001B28CF"/>
    <w:rsid w:val="001B3203"/>
    <w:rsid w:val="001B320F"/>
    <w:rsid w:val="001B4A09"/>
    <w:rsid w:val="001B4ADC"/>
    <w:rsid w:val="001B4C8F"/>
    <w:rsid w:val="001B525F"/>
    <w:rsid w:val="001B5682"/>
    <w:rsid w:val="001B5C48"/>
    <w:rsid w:val="001C1220"/>
    <w:rsid w:val="001C1F9E"/>
    <w:rsid w:val="001C29A5"/>
    <w:rsid w:val="001C4218"/>
    <w:rsid w:val="001C4226"/>
    <w:rsid w:val="001C4440"/>
    <w:rsid w:val="001C47D1"/>
    <w:rsid w:val="001C495A"/>
    <w:rsid w:val="001C4B89"/>
    <w:rsid w:val="001C511B"/>
    <w:rsid w:val="001C68A2"/>
    <w:rsid w:val="001C7A2B"/>
    <w:rsid w:val="001C7BC1"/>
    <w:rsid w:val="001D0B53"/>
    <w:rsid w:val="001D0C4A"/>
    <w:rsid w:val="001D1AC8"/>
    <w:rsid w:val="001D1C8F"/>
    <w:rsid w:val="001D278D"/>
    <w:rsid w:val="001D324F"/>
    <w:rsid w:val="001D3310"/>
    <w:rsid w:val="001D3AF2"/>
    <w:rsid w:val="001D3B29"/>
    <w:rsid w:val="001D3F2B"/>
    <w:rsid w:val="001D3F76"/>
    <w:rsid w:val="001D47EC"/>
    <w:rsid w:val="001D4CF0"/>
    <w:rsid w:val="001D4CF1"/>
    <w:rsid w:val="001D5071"/>
    <w:rsid w:val="001E02CF"/>
    <w:rsid w:val="001E080E"/>
    <w:rsid w:val="001E132D"/>
    <w:rsid w:val="001E136B"/>
    <w:rsid w:val="001E155F"/>
    <w:rsid w:val="001E1B01"/>
    <w:rsid w:val="001E2155"/>
    <w:rsid w:val="001E24BC"/>
    <w:rsid w:val="001E2523"/>
    <w:rsid w:val="001E2ED4"/>
    <w:rsid w:val="001E316E"/>
    <w:rsid w:val="001E3D4D"/>
    <w:rsid w:val="001E4493"/>
    <w:rsid w:val="001E4BF8"/>
    <w:rsid w:val="001E55FD"/>
    <w:rsid w:val="001E6DC4"/>
    <w:rsid w:val="001E7249"/>
    <w:rsid w:val="001E756C"/>
    <w:rsid w:val="001E7759"/>
    <w:rsid w:val="001F0627"/>
    <w:rsid w:val="001F0FB7"/>
    <w:rsid w:val="001F1B52"/>
    <w:rsid w:val="001F28CC"/>
    <w:rsid w:val="001F38C2"/>
    <w:rsid w:val="001F3FB5"/>
    <w:rsid w:val="001F40FE"/>
    <w:rsid w:val="001F4FA7"/>
    <w:rsid w:val="001F5755"/>
    <w:rsid w:val="001F5F1A"/>
    <w:rsid w:val="001F7BBE"/>
    <w:rsid w:val="001F7C3F"/>
    <w:rsid w:val="001F7FCF"/>
    <w:rsid w:val="00200624"/>
    <w:rsid w:val="002008DE"/>
    <w:rsid w:val="00200B50"/>
    <w:rsid w:val="00200EA0"/>
    <w:rsid w:val="0020124E"/>
    <w:rsid w:val="00201298"/>
    <w:rsid w:val="00201BD8"/>
    <w:rsid w:val="00201C30"/>
    <w:rsid w:val="00201F4E"/>
    <w:rsid w:val="002022D9"/>
    <w:rsid w:val="00202EF4"/>
    <w:rsid w:val="002030BF"/>
    <w:rsid w:val="00203378"/>
    <w:rsid w:val="0020370D"/>
    <w:rsid w:val="00203897"/>
    <w:rsid w:val="00203FC1"/>
    <w:rsid w:val="00204378"/>
    <w:rsid w:val="00204563"/>
    <w:rsid w:val="0020470A"/>
    <w:rsid w:val="002048CE"/>
    <w:rsid w:val="00204C16"/>
    <w:rsid w:val="00204C67"/>
    <w:rsid w:val="00204D71"/>
    <w:rsid w:val="00206050"/>
    <w:rsid w:val="00206067"/>
    <w:rsid w:val="002062D2"/>
    <w:rsid w:val="00206AE5"/>
    <w:rsid w:val="00206FF0"/>
    <w:rsid w:val="0020739B"/>
    <w:rsid w:val="00207731"/>
    <w:rsid w:val="002078B4"/>
    <w:rsid w:val="00207A66"/>
    <w:rsid w:val="00210DC8"/>
    <w:rsid w:val="0021165C"/>
    <w:rsid w:val="00211C60"/>
    <w:rsid w:val="00212CB9"/>
    <w:rsid w:val="00212E24"/>
    <w:rsid w:val="00213A30"/>
    <w:rsid w:val="00213D3C"/>
    <w:rsid w:val="00214240"/>
    <w:rsid w:val="00214274"/>
    <w:rsid w:val="0021491B"/>
    <w:rsid w:val="002166F5"/>
    <w:rsid w:val="0021743C"/>
    <w:rsid w:val="002174D3"/>
    <w:rsid w:val="002174FD"/>
    <w:rsid w:val="00217B7B"/>
    <w:rsid w:val="00220863"/>
    <w:rsid w:val="00220A82"/>
    <w:rsid w:val="002212CB"/>
    <w:rsid w:val="00221F18"/>
    <w:rsid w:val="0022225A"/>
    <w:rsid w:val="002222A7"/>
    <w:rsid w:val="002225A5"/>
    <w:rsid w:val="00222C2F"/>
    <w:rsid w:val="00223063"/>
    <w:rsid w:val="0022383A"/>
    <w:rsid w:val="00223D6A"/>
    <w:rsid w:val="00224093"/>
    <w:rsid w:val="002248D8"/>
    <w:rsid w:val="00226262"/>
    <w:rsid w:val="0022653A"/>
    <w:rsid w:val="00227B3E"/>
    <w:rsid w:val="00230276"/>
    <w:rsid w:val="002302DB"/>
    <w:rsid w:val="00230744"/>
    <w:rsid w:val="0023095A"/>
    <w:rsid w:val="002309D4"/>
    <w:rsid w:val="00231DFA"/>
    <w:rsid w:val="002325B6"/>
    <w:rsid w:val="0023325B"/>
    <w:rsid w:val="00233595"/>
    <w:rsid w:val="0023371C"/>
    <w:rsid w:val="00233F44"/>
    <w:rsid w:val="00234C00"/>
    <w:rsid w:val="00234F30"/>
    <w:rsid w:val="00234F60"/>
    <w:rsid w:val="00235CC4"/>
    <w:rsid w:val="00235DE8"/>
    <w:rsid w:val="002366D5"/>
    <w:rsid w:val="002369D9"/>
    <w:rsid w:val="0024041A"/>
    <w:rsid w:val="002404B5"/>
    <w:rsid w:val="00240A77"/>
    <w:rsid w:val="00240D05"/>
    <w:rsid w:val="00240D13"/>
    <w:rsid w:val="00241763"/>
    <w:rsid w:val="00241A8D"/>
    <w:rsid w:val="0024228E"/>
    <w:rsid w:val="0024305C"/>
    <w:rsid w:val="00243AC8"/>
    <w:rsid w:val="00244137"/>
    <w:rsid w:val="00244AB5"/>
    <w:rsid w:val="00246F0F"/>
    <w:rsid w:val="00247538"/>
    <w:rsid w:val="00247DB9"/>
    <w:rsid w:val="0025067E"/>
    <w:rsid w:val="002506EA"/>
    <w:rsid w:val="00250903"/>
    <w:rsid w:val="002509A1"/>
    <w:rsid w:val="00250F63"/>
    <w:rsid w:val="00250F92"/>
    <w:rsid w:val="002512E4"/>
    <w:rsid w:val="00251508"/>
    <w:rsid w:val="00251C3C"/>
    <w:rsid w:val="00251E38"/>
    <w:rsid w:val="00251E9E"/>
    <w:rsid w:val="0025226C"/>
    <w:rsid w:val="00252CFD"/>
    <w:rsid w:val="00252F29"/>
    <w:rsid w:val="00253216"/>
    <w:rsid w:val="0025325D"/>
    <w:rsid w:val="00253567"/>
    <w:rsid w:val="00253657"/>
    <w:rsid w:val="002543FF"/>
    <w:rsid w:val="00254C20"/>
    <w:rsid w:val="00255D12"/>
    <w:rsid w:val="00256516"/>
    <w:rsid w:val="00256C70"/>
    <w:rsid w:val="0025709F"/>
    <w:rsid w:val="00257BE3"/>
    <w:rsid w:val="002601A9"/>
    <w:rsid w:val="0026061F"/>
    <w:rsid w:val="002620FB"/>
    <w:rsid w:val="002626BB"/>
    <w:rsid w:val="00262F84"/>
    <w:rsid w:val="002635BC"/>
    <w:rsid w:val="00263840"/>
    <w:rsid w:val="00263A00"/>
    <w:rsid w:val="00263A77"/>
    <w:rsid w:val="00263B9E"/>
    <w:rsid w:val="00263EB9"/>
    <w:rsid w:val="00264165"/>
    <w:rsid w:val="002641F9"/>
    <w:rsid w:val="00264333"/>
    <w:rsid w:val="002644D8"/>
    <w:rsid w:val="0026474E"/>
    <w:rsid w:val="002647EE"/>
    <w:rsid w:val="0026499B"/>
    <w:rsid w:val="00264A75"/>
    <w:rsid w:val="00264D33"/>
    <w:rsid w:val="0026521B"/>
    <w:rsid w:val="002657C2"/>
    <w:rsid w:val="00265A27"/>
    <w:rsid w:val="002666BC"/>
    <w:rsid w:val="00266989"/>
    <w:rsid w:val="00267A0B"/>
    <w:rsid w:val="00267C19"/>
    <w:rsid w:val="002702FD"/>
    <w:rsid w:val="00270328"/>
    <w:rsid w:val="00271488"/>
    <w:rsid w:val="00271A65"/>
    <w:rsid w:val="0027205B"/>
    <w:rsid w:val="0027220F"/>
    <w:rsid w:val="00272335"/>
    <w:rsid w:val="0027292C"/>
    <w:rsid w:val="00273663"/>
    <w:rsid w:val="00273ABA"/>
    <w:rsid w:val="00273D0E"/>
    <w:rsid w:val="00273DFA"/>
    <w:rsid w:val="00274CC4"/>
    <w:rsid w:val="00274FF6"/>
    <w:rsid w:val="002751F7"/>
    <w:rsid w:val="0027542F"/>
    <w:rsid w:val="0027553E"/>
    <w:rsid w:val="002756DF"/>
    <w:rsid w:val="00276CCE"/>
    <w:rsid w:val="0027773A"/>
    <w:rsid w:val="002777AA"/>
    <w:rsid w:val="002778D4"/>
    <w:rsid w:val="002779AC"/>
    <w:rsid w:val="002779AD"/>
    <w:rsid w:val="00280406"/>
    <w:rsid w:val="00280582"/>
    <w:rsid w:val="00280EA7"/>
    <w:rsid w:val="002812C0"/>
    <w:rsid w:val="00281467"/>
    <w:rsid w:val="0028198D"/>
    <w:rsid w:val="00281AC7"/>
    <w:rsid w:val="00281C4C"/>
    <w:rsid w:val="002829ED"/>
    <w:rsid w:val="0028310D"/>
    <w:rsid w:val="00283195"/>
    <w:rsid w:val="00283C5A"/>
    <w:rsid w:val="00283F90"/>
    <w:rsid w:val="0028456F"/>
    <w:rsid w:val="00284E10"/>
    <w:rsid w:val="00285357"/>
    <w:rsid w:val="00285655"/>
    <w:rsid w:val="00285C25"/>
    <w:rsid w:val="00286566"/>
    <w:rsid w:val="00286E40"/>
    <w:rsid w:val="00286F90"/>
    <w:rsid w:val="00287133"/>
    <w:rsid w:val="0028770F"/>
    <w:rsid w:val="00287E4A"/>
    <w:rsid w:val="00287F77"/>
    <w:rsid w:val="00290AD5"/>
    <w:rsid w:val="00290AE6"/>
    <w:rsid w:val="00291444"/>
    <w:rsid w:val="00291582"/>
    <w:rsid w:val="002916BB"/>
    <w:rsid w:val="002916F8"/>
    <w:rsid w:val="00291E9C"/>
    <w:rsid w:val="00292399"/>
    <w:rsid w:val="002929C4"/>
    <w:rsid w:val="00292BD6"/>
    <w:rsid w:val="0029357E"/>
    <w:rsid w:val="002937A5"/>
    <w:rsid w:val="00294062"/>
    <w:rsid w:val="0029440A"/>
    <w:rsid w:val="002948FF"/>
    <w:rsid w:val="00294E94"/>
    <w:rsid w:val="00294EDE"/>
    <w:rsid w:val="00294F27"/>
    <w:rsid w:val="002950AC"/>
    <w:rsid w:val="00295E41"/>
    <w:rsid w:val="002969B9"/>
    <w:rsid w:val="00296AE1"/>
    <w:rsid w:val="00297A6B"/>
    <w:rsid w:val="002A09AB"/>
    <w:rsid w:val="002A0A13"/>
    <w:rsid w:val="002A1CB4"/>
    <w:rsid w:val="002A1CCC"/>
    <w:rsid w:val="002A2553"/>
    <w:rsid w:val="002A2AC2"/>
    <w:rsid w:val="002A2AFB"/>
    <w:rsid w:val="002A2DF8"/>
    <w:rsid w:val="002A36B6"/>
    <w:rsid w:val="002A3776"/>
    <w:rsid w:val="002A3CC2"/>
    <w:rsid w:val="002A4E20"/>
    <w:rsid w:val="002A52EF"/>
    <w:rsid w:val="002A52F9"/>
    <w:rsid w:val="002A6032"/>
    <w:rsid w:val="002A64DF"/>
    <w:rsid w:val="002A6C69"/>
    <w:rsid w:val="002A707F"/>
    <w:rsid w:val="002B11ED"/>
    <w:rsid w:val="002B2B31"/>
    <w:rsid w:val="002B3834"/>
    <w:rsid w:val="002B38DB"/>
    <w:rsid w:val="002B3906"/>
    <w:rsid w:val="002B5167"/>
    <w:rsid w:val="002B603A"/>
    <w:rsid w:val="002B6AF5"/>
    <w:rsid w:val="002B6C62"/>
    <w:rsid w:val="002B76D1"/>
    <w:rsid w:val="002B782D"/>
    <w:rsid w:val="002C0184"/>
    <w:rsid w:val="002C0AA9"/>
    <w:rsid w:val="002C0D8F"/>
    <w:rsid w:val="002C20A6"/>
    <w:rsid w:val="002C2235"/>
    <w:rsid w:val="002C237B"/>
    <w:rsid w:val="002C2871"/>
    <w:rsid w:val="002C2C5E"/>
    <w:rsid w:val="002C2C5F"/>
    <w:rsid w:val="002C30AF"/>
    <w:rsid w:val="002C3194"/>
    <w:rsid w:val="002C38D5"/>
    <w:rsid w:val="002C3C24"/>
    <w:rsid w:val="002C3CFE"/>
    <w:rsid w:val="002C3E04"/>
    <w:rsid w:val="002C41B7"/>
    <w:rsid w:val="002C482D"/>
    <w:rsid w:val="002C4A4C"/>
    <w:rsid w:val="002C4A8A"/>
    <w:rsid w:val="002C6E52"/>
    <w:rsid w:val="002C765C"/>
    <w:rsid w:val="002C76D2"/>
    <w:rsid w:val="002D0E73"/>
    <w:rsid w:val="002D2880"/>
    <w:rsid w:val="002D2AAA"/>
    <w:rsid w:val="002D2B23"/>
    <w:rsid w:val="002D38DC"/>
    <w:rsid w:val="002D3A66"/>
    <w:rsid w:val="002D3D39"/>
    <w:rsid w:val="002D4E59"/>
    <w:rsid w:val="002D610E"/>
    <w:rsid w:val="002D635B"/>
    <w:rsid w:val="002D6385"/>
    <w:rsid w:val="002D6693"/>
    <w:rsid w:val="002D7705"/>
    <w:rsid w:val="002D7B57"/>
    <w:rsid w:val="002E0B2E"/>
    <w:rsid w:val="002E1F40"/>
    <w:rsid w:val="002E2CD7"/>
    <w:rsid w:val="002E3250"/>
    <w:rsid w:val="002E4157"/>
    <w:rsid w:val="002E4EA9"/>
    <w:rsid w:val="002E5DE3"/>
    <w:rsid w:val="002E6A9D"/>
    <w:rsid w:val="002E74C0"/>
    <w:rsid w:val="002E7515"/>
    <w:rsid w:val="002E76AB"/>
    <w:rsid w:val="002E7805"/>
    <w:rsid w:val="002E7DF3"/>
    <w:rsid w:val="002F0521"/>
    <w:rsid w:val="002F065E"/>
    <w:rsid w:val="002F0777"/>
    <w:rsid w:val="002F0A03"/>
    <w:rsid w:val="002F0FBB"/>
    <w:rsid w:val="002F129E"/>
    <w:rsid w:val="002F16D0"/>
    <w:rsid w:val="002F1B67"/>
    <w:rsid w:val="002F1E89"/>
    <w:rsid w:val="002F2386"/>
    <w:rsid w:val="002F286A"/>
    <w:rsid w:val="002F2891"/>
    <w:rsid w:val="002F28FD"/>
    <w:rsid w:val="002F476F"/>
    <w:rsid w:val="002F4D53"/>
    <w:rsid w:val="002F4F44"/>
    <w:rsid w:val="002F52FE"/>
    <w:rsid w:val="002F5328"/>
    <w:rsid w:val="002F5935"/>
    <w:rsid w:val="002F5AFB"/>
    <w:rsid w:val="002F5C43"/>
    <w:rsid w:val="002F5E11"/>
    <w:rsid w:val="002F5EFD"/>
    <w:rsid w:val="002F68F9"/>
    <w:rsid w:val="002F6C50"/>
    <w:rsid w:val="002F740A"/>
    <w:rsid w:val="002F788B"/>
    <w:rsid w:val="002F78CD"/>
    <w:rsid w:val="003008FA"/>
    <w:rsid w:val="00300A36"/>
    <w:rsid w:val="003024D3"/>
    <w:rsid w:val="00302B53"/>
    <w:rsid w:val="00302E61"/>
    <w:rsid w:val="0030346C"/>
    <w:rsid w:val="003034F5"/>
    <w:rsid w:val="00303D08"/>
    <w:rsid w:val="003052CF"/>
    <w:rsid w:val="003059F2"/>
    <w:rsid w:val="00305C52"/>
    <w:rsid w:val="00305DD1"/>
    <w:rsid w:val="00306468"/>
    <w:rsid w:val="00306729"/>
    <w:rsid w:val="00306891"/>
    <w:rsid w:val="00307EA9"/>
    <w:rsid w:val="0031023C"/>
    <w:rsid w:val="00310966"/>
    <w:rsid w:val="00310A5F"/>
    <w:rsid w:val="00311169"/>
    <w:rsid w:val="0031138B"/>
    <w:rsid w:val="003114F9"/>
    <w:rsid w:val="00311B62"/>
    <w:rsid w:val="00312254"/>
    <w:rsid w:val="0031239C"/>
    <w:rsid w:val="00312571"/>
    <w:rsid w:val="00312713"/>
    <w:rsid w:val="00313A75"/>
    <w:rsid w:val="00313ADB"/>
    <w:rsid w:val="00313CCA"/>
    <w:rsid w:val="00313FDA"/>
    <w:rsid w:val="00314035"/>
    <w:rsid w:val="0031535E"/>
    <w:rsid w:val="00315962"/>
    <w:rsid w:val="00315A0A"/>
    <w:rsid w:val="00315AA5"/>
    <w:rsid w:val="0031606B"/>
    <w:rsid w:val="00316487"/>
    <w:rsid w:val="00317223"/>
    <w:rsid w:val="003175A3"/>
    <w:rsid w:val="00317B0A"/>
    <w:rsid w:val="00320E75"/>
    <w:rsid w:val="00321522"/>
    <w:rsid w:val="00321F67"/>
    <w:rsid w:val="00322B7C"/>
    <w:rsid w:val="00322BB1"/>
    <w:rsid w:val="00322EDF"/>
    <w:rsid w:val="0032321A"/>
    <w:rsid w:val="0032343A"/>
    <w:rsid w:val="003235A6"/>
    <w:rsid w:val="0032365B"/>
    <w:rsid w:val="003239FD"/>
    <w:rsid w:val="00323BDD"/>
    <w:rsid w:val="00323D29"/>
    <w:rsid w:val="00323ED3"/>
    <w:rsid w:val="00324654"/>
    <w:rsid w:val="0032481C"/>
    <w:rsid w:val="00325861"/>
    <w:rsid w:val="003259E5"/>
    <w:rsid w:val="00325BA5"/>
    <w:rsid w:val="00325DAE"/>
    <w:rsid w:val="00325DCD"/>
    <w:rsid w:val="00326733"/>
    <w:rsid w:val="0032716C"/>
    <w:rsid w:val="003271CF"/>
    <w:rsid w:val="003302BC"/>
    <w:rsid w:val="003304AC"/>
    <w:rsid w:val="00331827"/>
    <w:rsid w:val="003335D4"/>
    <w:rsid w:val="00333AF1"/>
    <w:rsid w:val="00334124"/>
    <w:rsid w:val="003347E4"/>
    <w:rsid w:val="003352C4"/>
    <w:rsid w:val="003352F2"/>
    <w:rsid w:val="00335839"/>
    <w:rsid w:val="00336772"/>
    <w:rsid w:val="003370F7"/>
    <w:rsid w:val="00337E37"/>
    <w:rsid w:val="00340720"/>
    <w:rsid w:val="00340A32"/>
    <w:rsid w:val="00340AAD"/>
    <w:rsid w:val="00340F63"/>
    <w:rsid w:val="00341053"/>
    <w:rsid w:val="00341156"/>
    <w:rsid w:val="00341845"/>
    <w:rsid w:val="00342284"/>
    <w:rsid w:val="00344657"/>
    <w:rsid w:val="00344733"/>
    <w:rsid w:val="00345412"/>
    <w:rsid w:val="003460A4"/>
    <w:rsid w:val="00346EB5"/>
    <w:rsid w:val="0034704C"/>
    <w:rsid w:val="0034742A"/>
    <w:rsid w:val="0034749C"/>
    <w:rsid w:val="0034760C"/>
    <w:rsid w:val="00347DE6"/>
    <w:rsid w:val="00350059"/>
    <w:rsid w:val="003519B4"/>
    <w:rsid w:val="00351CF7"/>
    <w:rsid w:val="00351D45"/>
    <w:rsid w:val="00352914"/>
    <w:rsid w:val="00352B60"/>
    <w:rsid w:val="00352B90"/>
    <w:rsid w:val="00352EB0"/>
    <w:rsid w:val="003534C5"/>
    <w:rsid w:val="00353776"/>
    <w:rsid w:val="00353A45"/>
    <w:rsid w:val="00353A52"/>
    <w:rsid w:val="00353A9E"/>
    <w:rsid w:val="00353D2D"/>
    <w:rsid w:val="00354B1D"/>
    <w:rsid w:val="00355494"/>
    <w:rsid w:val="00355DC6"/>
    <w:rsid w:val="00355F8C"/>
    <w:rsid w:val="00356258"/>
    <w:rsid w:val="003574D5"/>
    <w:rsid w:val="003575D5"/>
    <w:rsid w:val="00357B5D"/>
    <w:rsid w:val="00360020"/>
    <w:rsid w:val="003602FE"/>
    <w:rsid w:val="003603F1"/>
    <w:rsid w:val="00361641"/>
    <w:rsid w:val="003617FB"/>
    <w:rsid w:val="00362064"/>
    <w:rsid w:val="00362382"/>
    <w:rsid w:val="003624C0"/>
    <w:rsid w:val="00362D89"/>
    <w:rsid w:val="00362DAA"/>
    <w:rsid w:val="0036326C"/>
    <w:rsid w:val="00363C6A"/>
    <w:rsid w:val="00364315"/>
    <w:rsid w:val="00364DB9"/>
    <w:rsid w:val="00364DF0"/>
    <w:rsid w:val="003651E6"/>
    <w:rsid w:val="0036532C"/>
    <w:rsid w:val="00367718"/>
    <w:rsid w:val="00367ACE"/>
    <w:rsid w:val="00367D1D"/>
    <w:rsid w:val="00370A9E"/>
    <w:rsid w:val="003711A0"/>
    <w:rsid w:val="00371247"/>
    <w:rsid w:val="00372154"/>
    <w:rsid w:val="00372723"/>
    <w:rsid w:val="00372D5E"/>
    <w:rsid w:val="00372E76"/>
    <w:rsid w:val="0037304C"/>
    <w:rsid w:val="00373200"/>
    <w:rsid w:val="00373594"/>
    <w:rsid w:val="0037372C"/>
    <w:rsid w:val="003741A8"/>
    <w:rsid w:val="003741B7"/>
    <w:rsid w:val="0037430B"/>
    <w:rsid w:val="00374A15"/>
    <w:rsid w:val="00374EB2"/>
    <w:rsid w:val="003750EE"/>
    <w:rsid w:val="00375A80"/>
    <w:rsid w:val="00375F65"/>
    <w:rsid w:val="00376D2F"/>
    <w:rsid w:val="003779A4"/>
    <w:rsid w:val="003808D3"/>
    <w:rsid w:val="00380A90"/>
    <w:rsid w:val="00381237"/>
    <w:rsid w:val="00381BF8"/>
    <w:rsid w:val="00381D37"/>
    <w:rsid w:val="003820CE"/>
    <w:rsid w:val="0038212D"/>
    <w:rsid w:val="00382353"/>
    <w:rsid w:val="00382AE1"/>
    <w:rsid w:val="00382DA1"/>
    <w:rsid w:val="00382E5F"/>
    <w:rsid w:val="00383624"/>
    <w:rsid w:val="003837DA"/>
    <w:rsid w:val="003838AC"/>
    <w:rsid w:val="0038481D"/>
    <w:rsid w:val="00384838"/>
    <w:rsid w:val="0038551A"/>
    <w:rsid w:val="00385DE6"/>
    <w:rsid w:val="00386DE8"/>
    <w:rsid w:val="0038724D"/>
    <w:rsid w:val="0038764A"/>
    <w:rsid w:val="00390638"/>
    <w:rsid w:val="0039090C"/>
    <w:rsid w:val="00390A07"/>
    <w:rsid w:val="0039136C"/>
    <w:rsid w:val="00391654"/>
    <w:rsid w:val="0039208B"/>
    <w:rsid w:val="00392986"/>
    <w:rsid w:val="00393431"/>
    <w:rsid w:val="00394411"/>
    <w:rsid w:val="003949A3"/>
    <w:rsid w:val="00395C29"/>
    <w:rsid w:val="0039608F"/>
    <w:rsid w:val="003960A6"/>
    <w:rsid w:val="0039775D"/>
    <w:rsid w:val="003978B6"/>
    <w:rsid w:val="003979F3"/>
    <w:rsid w:val="003A0D91"/>
    <w:rsid w:val="003A132A"/>
    <w:rsid w:val="003A1EA3"/>
    <w:rsid w:val="003A3A5B"/>
    <w:rsid w:val="003A3A7D"/>
    <w:rsid w:val="003A4671"/>
    <w:rsid w:val="003A4FCF"/>
    <w:rsid w:val="003A569D"/>
    <w:rsid w:val="003A5C53"/>
    <w:rsid w:val="003A7D5A"/>
    <w:rsid w:val="003B15BB"/>
    <w:rsid w:val="003B15EB"/>
    <w:rsid w:val="003B1919"/>
    <w:rsid w:val="003B1E15"/>
    <w:rsid w:val="003B2505"/>
    <w:rsid w:val="003B2842"/>
    <w:rsid w:val="003B3792"/>
    <w:rsid w:val="003B3D36"/>
    <w:rsid w:val="003B44F8"/>
    <w:rsid w:val="003B4AB1"/>
    <w:rsid w:val="003B6598"/>
    <w:rsid w:val="003B6B10"/>
    <w:rsid w:val="003B6B3C"/>
    <w:rsid w:val="003B72EF"/>
    <w:rsid w:val="003B785C"/>
    <w:rsid w:val="003B7D51"/>
    <w:rsid w:val="003B7EC3"/>
    <w:rsid w:val="003C0BE5"/>
    <w:rsid w:val="003C10AC"/>
    <w:rsid w:val="003C10C6"/>
    <w:rsid w:val="003C1421"/>
    <w:rsid w:val="003C2044"/>
    <w:rsid w:val="003C28DB"/>
    <w:rsid w:val="003C2EEC"/>
    <w:rsid w:val="003C4DF9"/>
    <w:rsid w:val="003C70BA"/>
    <w:rsid w:val="003D00E9"/>
    <w:rsid w:val="003D037D"/>
    <w:rsid w:val="003D04A9"/>
    <w:rsid w:val="003D0764"/>
    <w:rsid w:val="003D0A3B"/>
    <w:rsid w:val="003D0B06"/>
    <w:rsid w:val="003D0FA7"/>
    <w:rsid w:val="003D159F"/>
    <w:rsid w:val="003D2229"/>
    <w:rsid w:val="003D245D"/>
    <w:rsid w:val="003D2514"/>
    <w:rsid w:val="003D2581"/>
    <w:rsid w:val="003D2DAC"/>
    <w:rsid w:val="003D43C8"/>
    <w:rsid w:val="003D47F2"/>
    <w:rsid w:val="003D493B"/>
    <w:rsid w:val="003D49C1"/>
    <w:rsid w:val="003D4C71"/>
    <w:rsid w:val="003D5052"/>
    <w:rsid w:val="003D54A4"/>
    <w:rsid w:val="003D55DB"/>
    <w:rsid w:val="003D572F"/>
    <w:rsid w:val="003D5966"/>
    <w:rsid w:val="003D6099"/>
    <w:rsid w:val="003D6165"/>
    <w:rsid w:val="003D6858"/>
    <w:rsid w:val="003D7706"/>
    <w:rsid w:val="003E0759"/>
    <w:rsid w:val="003E09FE"/>
    <w:rsid w:val="003E0DFF"/>
    <w:rsid w:val="003E12D9"/>
    <w:rsid w:val="003E2685"/>
    <w:rsid w:val="003E2733"/>
    <w:rsid w:val="003E2B01"/>
    <w:rsid w:val="003E2FAB"/>
    <w:rsid w:val="003E36A3"/>
    <w:rsid w:val="003E3914"/>
    <w:rsid w:val="003E3BEF"/>
    <w:rsid w:val="003E3D7E"/>
    <w:rsid w:val="003E4001"/>
    <w:rsid w:val="003E4359"/>
    <w:rsid w:val="003E43F0"/>
    <w:rsid w:val="003E479D"/>
    <w:rsid w:val="003E50BF"/>
    <w:rsid w:val="003E5374"/>
    <w:rsid w:val="003E5AB4"/>
    <w:rsid w:val="003E5D75"/>
    <w:rsid w:val="003E62ED"/>
    <w:rsid w:val="003E6C2F"/>
    <w:rsid w:val="003E6EE6"/>
    <w:rsid w:val="003E716E"/>
    <w:rsid w:val="003E783C"/>
    <w:rsid w:val="003E798F"/>
    <w:rsid w:val="003E7CB6"/>
    <w:rsid w:val="003F0987"/>
    <w:rsid w:val="003F15CF"/>
    <w:rsid w:val="003F1757"/>
    <w:rsid w:val="003F1DDC"/>
    <w:rsid w:val="003F2145"/>
    <w:rsid w:val="003F3376"/>
    <w:rsid w:val="003F3639"/>
    <w:rsid w:val="003F3986"/>
    <w:rsid w:val="003F3D5D"/>
    <w:rsid w:val="003F3D61"/>
    <w:rsid w:val="003F54A9"/>
    <w:rsid w:val="003F5F8A"/>
    <w:rsid w:val="003F659D"/>
    <w:rsid w:val="003F6924"/>
    <w:rsid w:val="003F6958"/>
    <w:rsid w:val="003F6FB0"/>
    <w:rsid w:val="003F7A93"/>
    <w:rsid w:val="003F7F6A"/>
    <w:rsid w:val="0040065B"/>
    <w:rsid w:val="00400835"/>
    <w:rsid w:val="00400AA2"/>
    <w:rsid w:val="00400E32"/>
    <w:rsid w:val="00401344"/>
    <w:rsid w:val="00401408"/>
    <w:rsid w:val="00401422"/>
    <w:rsid w:val="0040164A"/>
    <w:rsid w:val="00401B65"/>
    <w:rsid w:val="00401D22"/>
    <w:rsid w:val="0040204C"/>
    <w:rsid w:val="00402879"/>
    <w:rsid w:val="00402885"/>
    <w:rsid w:val="004029C2"/>
    <w:rsid w:val="0040306E"/>
    <w:rsid w:val="00403324"/>
    <w:rsid w:val="00404567"/>
    <w:rsid w:val="0040462B"/>
    <w:rsid w:val="0040473A"/>
    <w:rsid w:val="00404793"/>
    <w:rsid w:val="004056FA"/>
    <w:rsid w:val="00405BC1"/>
    <w:rsid w:val="00405FEE"/>
    <w:rsid w:val="00406D7F"/>
    <w:rsid w:val="004070E0"/>
    <w:rsid w:val="0040734E"/>
    <w:rsid w:val="004128AC"/>
    <w:rsid w:val="004136FF"/>
    <w:rsid w:val="00413A70"/>
    <w:rsid w:val="0041405A"/>
    <w:rsid w:val="004144D6"/>
    <w:rsid w:val="00414876"/>
    <w:rsid w:val="0041495A"/>
    <w:rsid w:val="004150BA"/>
    <w:rsid w:val="00415D83"/>
    <w:rsid w:val="00415FFE"/>
    <w:rsid w:val="00416D07"/>
    <w:rsid w:val="00416E1E"/>
    <w:rsid w:val="00417487"/>
    <w:rsid w:val="0041777D"/>
    <w:rsid w:val="00417CF5"/>
    <w:rsid w:val="00420369"/>
    <w:rsid w:val="004211ED"/>
    <w:rsid w:val="00421295"/>
    <w:rsid w:val="00421B13"/>
    <w:rsid w:val="004224D6"/>
    <w:rsid w:val="00422935"/>
    <w:rsid w:val="00423250"/>
    <w:rsid w:val="00423277"/>
    <w:rsid w:val="00423F39"/>
    <w:rsid w:val="0042459C"/>
    <w:rsid w:val="0042496D"/>
    <w:rsid w:val="00424CFC"/>
    <w:rsid w:val="00424DA7"/>
    <w:rsid w:val="0042540D"/>
    <w:rsid w:val="00425821"/>
    <w:rsid w:val="00426008"/>
    <w:rsid w:val="00426065"/>
    <w:rsid w:val="004266A3"/>
    <w:rsid w:val="004268E9"/>
    <w:rsid w:val="00426AE5"/>
    <w:rsid w:val="0042780B"/>
    <w:rsid w:val="00430B51"/>
    <w:rsid w:val="00431632"/>
    <w:rsid w:val="00431A74"/>
    <w:rsid w:val="004336E7"/>
    <w:rsid w:val="00433D57"/>
    <w:rsid w:val="00434B83"/>
    <w:rsid w:val="00435F9C"/>
    <w:rsid w:val="00436B96"/>
    <w:rsid w:val="0043797A"/>
    <w:rsid w:val="00437A53"/>
    <w:rsid w:val="004404FF"/>
    <w:rsid w:val="00440591"/>
    <w:rsid w:val="004408C6"/>
    <w:rsid w:val="00440D34"/>
    <w:rsid w:val="00441174"/>
    <w:rsid w:val="00441501"/>
    <w:rsid w:val="00441ABF"/>
    <w:rsid w:val="00441AC7"/>
    <w:rsid w:val="00442DEC"/>
    <w:rsid w:val="00443A1D"/>
    <w:rsid w:val="00443BC9"/>
    <w:rsid w:val="00443CF0"/>
    <w:rsid w:val="00444B20"/>
    <w:rsid w:val="00445428"/>
    <w:rsid w:val="00447378"/>
    <w:rsid w:val="00447538"/>
    <w:rsid w:val="004479BD"/>
    <w:rsid w:val="00447FC2"/>
    <w:rsid w:val="00450061"/>
    <w:rsid w:val="00450668"/>
    <w:rsid w:val="004512D8"/>
    <w:rsid w:val="00451DA9"/>
    <w:rsid w:val="00451FA7"/>
    <w:rsid w:val="00452281"/>
    <w:rsid w:val="0045268C"/>
    <w:rsid w:val="00453E4C"/>
    <w:rsid w:val="00454F31"/>
    <w:rsid w:val="00455100"/>
    <w:rsid w:val="004551CF"/>
    <w:rsid w:val="00455522"/>
    <w:rsid w:val="0045557C"/>
    <w:rsid w:val="0045647A"/>
    <w:rsid w:val="00456C03"/>
    <w:rsid w:val="0045768A"/>
    <w:rsid w:val="00457ADA"/>
    <w:rsid w:val="00460C53"/>
    <w:rsid w:val="00461064"/>
    <w:rsid w:val="004626F1"/>
    <w:rsid w:val="0046272C"/>
    <w:rsid w:val="00462955"/>
    <w:rsid w:val="004630C7"/>
    <w:rsid w:val="00464558"/>
    <w:rsid w:val="00464DBA"/>
    <w:rsid w:val="00464DC8"/>
    <w:rsid w:val="00465767"/>
    <w:rsid w:val="00465768"/>
    <w:rsid w:val="00465D92"/>
    <w:rsid w:val="00465EF7"/>
    <w:rsid w:val="0046718C"/>
    <w:rsid w:val="00467559"/>
    <w:rsid w:val="004703BD"/>
    <w:rsid w:val="004705C9"/>
    <w:rsid w:val="004708FC"/>
    <w:rsid w:val="00470918"/>
    <w:rsid w:val="00470963"/>
    <w:rsid w:val="00470C54"/>
    <w:rsid w:val="0047181E"/>
    <w:rsid w:val="00471A93"/>
    <w:rsid w:val="00471DFD"/>
    <w:rsid w:val="00472224"/>
    <w:rsid w:val="0047274B"/>
    <w:rsid w:val="00472DE2"/>
    <w:rsid w:val="00472EA3"/>
    <w:rsid w:val="0047447A"/>
    <w:rsid w:val="00475DC1"/>
    <w:rsid w:val="004767D8"/>
    <w:rsid w:val="0047767D"/>
    <w:rsid w:val="004776AB"/>
    <w:rsid w:val="00477946"/>
    <w:rsid w:val="00477966"/>
    <w:rsid w:val="00477C0F"/>
    <w:rsid w:val="00480E2E"/>
    <w:rsid w:val="00482F6D"/>
    <w:rsid w:val="004833F8"/>
    <w:rsid w:val="00484461"/>
    <w:rsid w:val="0048457F"/>
    <w:rsid w:val="00484976"/>
    <w:rsid w:val="00484FCE"/>
    <w:rsid w:val="00485CE5"/>
    <w:rsid w:val="00486656"/>
    <w:rsid w:val="00486CF9"/>
    <w:rsid w:val="0048717C"/>
    <w:rsid w:val="0048748E"/>
    <w:rsid w:val="004874E4"/>
    <w:rsid w:val="0048799F"/>
    <w:rsid w:val="00487BC3"/>
    <w:rsid w:val="00487CCB"/>
    <w:rsid w:val="00487E4D"/>
    <w:rsid w:val="004905BF"/>
    <w:rsid w:val="0049068D"/>
    <w:rsid w:val="00490B1B"/>
    <w:rsid w:val="00490EF1"/>
    <w:rsid w:val="004910DD"/>
    <w:rsid w:val="004912E2"/>
    <w:rsid w:val="00491512"/>
    <w:rsid w:val="00491872"/>
    <w:rsid w:val="0049232D"/>
    <w:rsid w:val="004927C4"/>
    <w:rsid w:val="00492C6F"/>
    <w:rsid w:val="00492E11"/>
    <w:rsid w:val="00492EDE"/>
    <w:rsid w:val="00492FC0"/>
    <w:rsid w:val="00493441"/>
    <w:rsid w:val="004940B8"/>
    <w:rsid w:val="0049447F"/>
    <w:rsid w:val="0049611C"/>
    <w:rsid w:val="004968C2"/>
    <w:rsid w:val="004978F6"/>
    <w:rsid w:val="004A01F3"/>
    <w:rsid w:val="004A05B6"/>
    <w:rsid w:val="004A0D0E"/>
    <w:rsid w:val="004A2935"/>
    <w:rsid w:val="004A29C3"/>
    <w:rsid w:val="004A2F14"/>
    <w:rsid w:val="004A375B"/>
    <w:rsid w:val="004A450B"/>
    <w:rsid w:val="004A5190"/>
    <w:rsid w:val="004A553C"/>
    <w:rsid w:val="004A5F41"/>
    <w:rsid w:val="004A6F74"/>
    <w:rsid w:val="004A7F2E"/>
    <w:rsid w:val="004B07DF"/>
    <w:rsid w:val="004B09E8"/>
    <w:rsid w:val="004B0C52"/>
    <w:rsid w:val="004B0D04"/>
    <w:rsid w:val="004B1189"/>
    <w:rsid w:val="004B13FF"/>
    <w:rsid w:val="004B16CA"/>
    <w:rsid w:val="004B1726"/>
    <w:rsid w:val="004B1DF5"/>
    <w:rsid w:val="004B2D74"/>
    <w:rsid w:val="004B32B3"/>
    <w:rsid w:val="004B3990"/>
    <w:rsid w:val="004B44BD"/>
    <w:rsid w:val="004B4B24"/>
    <w:rsid w:val="004B4D68"/>
    <w:rsid w:val="004B564C"/>
    <w:rsid w:val="004B5AD2"/>
    <w:rsid w:val="004B6B11"/>
    <w:rsid w:val="004B748E"/>
    <w:rsid w:val="004B7F99"/>
    <w:rsid w:val="004B7FD5"/>
    <w:rsid w:val="004C0465"/>
    <w:rsid w:val="004C093B"/>
    <w:rsid w:val="004C11B5"/>
    <w:rsid w:val="004C168C"/>
    <w:rsid w:val="004C1919"/>
    <w:rsid w:val="004C26FB"/>
    <w:rsid w:val="004C2AAB"/>
    <w:rsid w:val="004C306E"/>
    <w:rsid w:val="004C36D2"/>
    <w:rsid w:val="004C37EA"/>
    <w:rsid w:val="004C3BC1"/>
    <w:rsid w:val="004C4EBB"/>
    <w:rsid w:val="004C5F75"/>
    <w:rsid w:val="004C604C"/>
    <w:rsid w:val="004C6114"/>
    <w:rsid w:val="004C6666"/>
    <w:rsid w:val="004C66C8"/>
    <w:rsid w:val="004C6A7A"/>
    <w:rsid w:val="004C76F8"/>
    <w:rsid w:val="004D0ADD"/>
    <w:rsid w:val="004D11CE"/>
    <w:rsid w:val="004D1221"/>
    <w:rsid w:val="004D1CD5"/>
    <w:rsid w:val="004D205A"/>
    <w:rsid w:val="004D2D57"/>
    <w:rsid w:val="004D32C3"/>
    <w:rsid w:val="004D3325"/>
    <w:rsid w:val="004D3839"/>
    <w:rsid w:val="004D4488"/>
    <w:rsid w:val="004D46DB"/>
    <w:rsid w:val="004D475C"/>
    <w:rsid w:val="004D476B"/>
    <w:rsid w:val="004D4B72"/>
    <w:rsid w:val="004D568D"/>
    <w:rsid w:val="004D5B7C"/>
    <w:rsid w:val="004D60E2"/>
    <w:rsid w:val="004D62C5"/>
    <w:rsid w:val="004D7431"/>
    <w:rsid w:val="004D7432"/>
    <w:rsid w:val="004D74DE"/>
    <w:rsid w:val="004D7B1B"/>
    <w:rsid w:val="004E0453"/>
    <w:rsid w:val="004E0D3F"/>
    <w:rsid w:val="004E0F26"/>
    <w:rsid w:val="004E14E6"/>
    <w:rsid w:val="004E1DAE"/>
    <w:rsid w:val="004E2112"/>
    <w:rsid w:val="004E28A4"/>
    <w:rsid w:val="004E2940"/>
    <w:rsid w:val="004E316E"/>
    <w:rsid w:val="004E37DA"/>
    <w:rsid w:val="004E392D"/>
    <w:rsid w:val="004E48CE"/>
    <w:rsid w:val="004E4BF5"/>
    <w:rsid w:val="004E4CC0"/>
    <w:rsid w:val="004E5D46"/>
    <w:rsid w:val="004E6254"/>
    <w:rsid w:val="004E6903"/>
    <w:rsid w:val="004E7671"/>
    <w:rsid w:val="004F03E6"/>
    <w:rsid w:val="004F0905"/>
    <w:rsid w:val="004F0D44"/>
    <w:rsid w:val="004F119C"/>
    <w:rsid w:val="004F140C"/>
    <w:rsid w:val="004F16E4"/>
    <w:rsid w:val="004F18C7"/>
    <w:rsid w:val="004F1952"/>
    <w:rsid w:val="004F1FDE"/>
    <w:rsid w:val="004F2237"/>
    <w:rsid w:val="004F28C7"/>
    <w:rsid w:val="004F3436"/>
    <w:rsid w:val="004F3BDA"/>
    <w:rsid w:val="004F3D22"/>
    <w:rsid w:val="004F4081"/>
    <w:rsid w:val="004F50F8"/>
    <w:rsid w:val="004F5EF3"/>
    <w:rsid w:val="004F5FAB"/>
    <w:rsid w:val="004F6A0B"/>
    <w:rsid w:val="0050156A"/>
    <w:rsid w:val="0050198B"/>
    <w:rsid w:val="0050240A"/>
    <w:rsid w:val="00502774"/>
    <w:rsid w:val="0050343D"/>
    <w:rsid w:val="005046A3"/>
    <w:rsid w:val="00504FAE"/>
    <w:rsid w:val="0050558C"/>
    <w:rsid w:val="00505C8C"/>
    <w:rsid w:val="005063FF"/>
    <w:rsid w:val="00506ACD"/>
    <w:rsid w:val="00506E82"/>
    <w:rsid w:val="00506ED7"/>
    <w:rsid w:val="00507688"/>
    <w:rsid w:val="00507723"/>
    <w:rsid w:val="005079DA"/>
    <w:rsid w:val="00507E98"/>
    <w:rsid w:val="00510DD0"/>
    <w:rsid w:val="005117B8"/>
    <w:rsid w:val="00512400"/>
    <w:rsid w:val="0051343F"/>
    <w:rsid w:val="00513B47"/>
    <w:rsid w:val="00513DC3"/>
    <w:rsid w:val="00514419"/>
    <w:rsid w:val="0051495D"/>
    <w:rsid w:val="00514B9A"/>
    <w:rsid w:val="00515173"/>
    <w:rsid w:val="00515C10"/>
    <w:rsid w:val="00516636"/>
    <w:rsid w:val="00516CBC"/>
    <w:rsid w:val="0051720D"/>
    <w:rsid w:val="00517368"/>
    <w:rsid w:val="0051776E"/>
    <w:rsid w:val="00517BBD"/>
    <w:rsid w:val="00517CAB"/>
    <w:rsid w:val="00520064"/>
    <w:rsid w:val="0052008C"/>
    <w:rsid w:val="00520E23"/>
    <w:rsid w:val="00520E44"/>
    <w:rsid w:val="00520F16"/>
    <w:rsid w:val="0052149A"/>
    <w:rsid w:val="005216B7"/>
    <w:rsid w:val="00521F42"/>
    <w:rsid w:val="00522E80"/>
    <w:rsid w:val="00522EB3"/>
    <w:rsid w:val="00523EE7"/>
    <w:rsid w:val="0052411C"/>
    <w:rsid w:val="00525BAE"/>
    <w:rsid w:val="005260B5"/>
    <w:rsid w:val="005261CE"/>
    <w:rsid w:val="005263AA"/>
    <w:rsid w:val="005265AA"/>
    <w:rsid w:val="00526B6D"/>
    <w:rsid w:val="00526B7C"/>
    <w:rsid w:val="00527099"/>
    <w:rsid w:val="0052736F"/>
    <w:rsid w:val="005273FC"/>
    <w:rsid w:val="005303F5"/>
    <w:rsid w:val="005304DB"/>
    <w:rsid w:val="00530C2D"/>
    <w:rsid w:val="00530D2E"/>
    <w:rsid w:val="0053191C"/>
    <w:rsid w:val="00531CD5"/>
    <w:rsid w:val="00531E56"/>
    <w:rsid w:val="00532B41"/>
    <w:rsid w:val="00532C4C"/>
    <w:rsid w:val="00532DDB"/>
    <w:rsid w:val="00532F16"/>
    <w:rsid w:val="00533000"/>
    <w:rsid w:val="005342B7"/>
    <w:rsid w:val="00534462"/>
    <w:rsid w:val="005349DD"/>
    <w:rsid w:val="00535029"/>
    <w:rsid w:val="005350DC"/>
    <w:rsid w:val="005353FE"/>
    <w:rsid w:val="00535B5C"/>
    <w:rsid w:val="005366A0"/>
    <w:rsid w:val="00536867"/>
    <w:rsid w:val="00537390"/>
    <w:rsid w:val="00537E7C"/>
    <w:rsid w:val="00540D60"/>
    <w:rsid w:val="005411F4"/>
    <w:rsid w:val="005415F1"/>
    <w:rsid w:val="0054195A"/>
    <w:rsid w:val="00541F07"/>
    <w:rsid w:val="00542821"/>
    <w:rsid w:val="00543436"/>
    <w:rsid w:val="00543488"/>
    <w:rsid w:val="00544F91"/>
    <w:rsid w:val="00545627"/>
    <w:rsid w:val="00545DCC"/>
    <w:rsid w:val="00546EA7"/>
    <w:rsid w:val="005471E3"/>
    <w:rsid w:val="00547226"/>
    <w:rsid w:val="00547590"/>
    <w:rsid w:val="00550968"/>
    <w:rsid w:val="00551230"/>
    <w:rsid w:val="00551618"/>
    <w:rsid w:val="00551A49"/>
    <w:rsid w:val="00551FFC"/>
    <w:rsid w:val="00552B01"/>
    <w:rsid w:val="00552BC7"/>
    <w:rsid w:val="00552DE4"/>
    <w:rsid w:val="00553341"/>
    <w:rsid w:val="00554EF5"/>
    <w:rsid w:val="0055526F"/>
    <w:rsid w:val="00555571"/>
    <w:rsid w:val="00555767"/>
    <w:rsid w:val="00555D42"/>
    <w:rsid w:val="00556AF9"/>
    <w:rsid w:val="005575B0"/>
    <w:rsid w:val="00557BFC"/>
    <w:rsid w:val="00557CB9"/>
    <w:rsid w:val="00557FC1"/>
    <w:rsid w:val="00560DAE"/>
    <w:rsid w:val="005610CF"/>
    <w:rsid w:val="0056188D"/>
    <w:rsid w:val="0056229E"/>
    <w:rsid w:val="00562462"/>
    <w:rsid w:val="005624C4"/>
    <w:rsid w:val="0056294D"/>
    <w:rsid w:val="0056359A"/>
    <w:rsid w:val="00564125"/>
    <w:rsid w:val="00564615"/>
    <w:rsid w:val="0056461D"/>
    <w:rsid w:val="00564BE4"/>
    <w:rsid w:val="00565016"/>
    <w:rsid w:val="00565DEC"/>
    <w:rsid w:val="00566191"/>
    <w:rsid w:val="005666F6"/>
    <w:rsid w:val="00567072"/>
    <w:rsid w:val="00567138"/>
    <w:rsid w:val="00567237"/>
    <w:rsid w:val="00567282"/>
    <w:rsid w:val="00567CC4"/>
    <w:rsid w:val="00567DDF"/>
    <w:rsid w:val="005707F0"/>
    <w:rsid w:val="0057087B"/>
    <w:rsid w:val="00570CE6"/>
    <w:rsid w:val="00570D73"/>
    <w:rsid w:val="00571598"/>
    <w:rsid w:val="0057196C"/>
    <w:rsid w:val="00572EFC"/>
    <w:rsid w:val="00572F9C"/>
    <w:rsid w:val="00573DAD"/>
    <w:rsid w:val="0057404F"/>
    <w:rsid w:val="0057472E"/>
    <w:rsid w:val="00575BEE"/>
    <w:rsid w:val="00577009"/>
    <w:rsid w:val="00577A9A"/>
    <w:rsid w:val="00577CD2"/>
    <w:rsid w:val="00577EE9"/>
    <w:rsid w:val="00580041"/>
    <w:rsid w:val="005801C6"/>
    <w:rsid w:val="00580333"/>
    <w:rsid w:val="00580982"/>
    <w:rsid w:val="00580AC4"/>
    <w:rsid w:val="00580C0E"/>
    <w:rsid w:val="005810DB"/>
    <w:rsid w:val="0058232A"/>
    <w:rsid w:val="00582471"/>
    <w:rsid w:val="00582535"/>
    <w:rsid w:val="00582893"/>
    <w:rsid w:val="005828F1"/>
    <w:rsid w:val="005831D1"/>
    <w:rsid w:val="005840F6"/>
    <w:rsid w:val="00584E06"/>
    <w:rsid w:val="00584E60"/>
    <w:rsid w:val="00586EE4"/>
    <w:rsid w:val="005876FE"/>
    <w:rsid w:val="00587EE4"/>
    <w:rsid w:val="005904B3"/>
    <w:rsid w:val="00590D61"/>
    <w:rsid w:val="00591273"/>
    <w:rsid w:val="005912E2"/>
    <w:rsid w:val="005914F2"/>
    <w:rsid w:val="00592457"/>
    <w:rsid w:val="00592960"/>
    <w:rsid w:val="00592CE1"/>
    <w:rsid w:val="00593276"/>
    <w:rsid w:val="005933A8"/>
    <w:rsid w:val="0059357A"/>
    <w:rsid w:val="00593789"/>
    <w:rsid w:val="00593F72"/>
    <w:rsid w:val="0059419A"/>
    <w:rsid w:val="00594A8D"/>
    <w:rsid w:val="005950EF"/>
    <w:rsid w:val="0059514A"/>
    <w:rsid w:val="005952BD"/>
    <w:rsid w:val="00595542"/>
    <w:rsid w:val="0059556C"/>
    <w:rsid w:val="00595961"/>
    <w:rsid w:val="00596686"/>
    <w:rsid w:val="00596DCC"/>
    <w:rsid w:val="0059767B"/>
    <w:rsid w:val="00597D47"/>
    <w:rsid w:val="00597FA5"/>
    <w:rsid w:val="005A1596"/>
    <w:rsid w:val="005A15E1"/>
    <w:rsid w:val="005A1A98"/>
    <w:rsid w:val="005A2F54"/>
    <w:rsid w:val="005A3B7D"/>
    <w:rsid w:val="005A444B"/>
    <w:rsid w:val="005A4716"/>
    <w:rsid w:val="005A4B1D"/>
    <w:rsid w:val="005A55C2"/>
    <w:rsid w:val="005A5689"/>
    <w:rsid w:val="005A57D8"/>
    <w:rsid w:val="005A63EB"/>
    <w:rsid w:val="005A65DE"/>
    <w:rsid w:val="005A6C8B"/>
    <w:rsid w:val="005B0471"/>
    <w:rsid w:val="005B04A2"/>
    <w:rsid w:val="005B092A"/>
    <w:rsid w:val="005B0937"/>
    <w:rsid w:val="005B0FD2"/>
    <w:rsid w:val="005B1595"/>
    <w:rsid w:val="005B178D"/>
    <w:rsid w:val="005B1BBA"/>
    <w:rsid w:val="005B1E38"/>
    <w:rsid w:val="005B1F7B"/>
    <w:rsid w:val="005B2AD3"/>
    <w:rsid w:val="005B2FCA"/>
    <w:rsid w:val="005B3352"/>
    <w:rsid w:val="005B40C1"/>
    <w:rsid w:val="005B478F"/>
    <w:rsid w:val="005B4E10"/>
    <w:rsid w:val="005B51DE"/>
    <w:rsid w:val="005B5AA9"/>
    <w:rsid w:val="005B5C80"/>
    <w:rsid w:val="005B5E4F"/>
    <w:rsid w:val="005B6E3D"/>
    <w:rsid w:val="005B6EF9"/>
    <w:rsid w:val="005B764C"/>
    <w:rsid w:val="005B7AD2"/>
    <w:rsid w:val="005B7F23"/>
    <w:rsid w:val="005C000C"/>
    <w:rsid w:val="005C059A"/>
    <w:rsid w:val="005C0FFC"/>
    <w:rsid w:val="005C1903"/>
    <w:rsid w:val="005C2157"/>
    <w:rsid w:val="005C2A0D"/>
    <w:rsid w:val="005C3768"/>
    <w:rsid w:val="005C393B"/>
    <w:rsid w:val="005C4E05"/>
    <w:rsid w:val="005C51E6"/>
    <w:rsid w:val="005C5AB9"/>
    <w:rsid w:val="005C68AD"/>
    <w:rsid w:val="005C68E6"/>
    <w:rsid w:val="005C6ED9"/>
    <w:rsid w:val="005C6F59"/>
    <w:rsid w:val="005C7242"/>
    <w:rsid w:val="005C7273"/>
    <w:rsid w:val="005C7349"/>
    <w:rsid w:val="005C76E5"/>
    <w:rsid w:val="005C7D62"/>
    <w:rsid w:val="005D0835"/>
    <w:rsid w:val="005D0F63"/>
    <w:rsid w:val="005D1B51"/>
    <w:rsid w:val="005D246F"/>
    <w:rsid w:val="005D2F1B"/>
    <w:rsid w:val="005D305E"/>
    <w:rsid w:val="005D3512"/>
    <w:rsid w:val="005D3956"/>
    <w:rsid w:val="005D3AE0"/>
    <w:rsid w:val="005D4792"/>
    <w:rsid w:val="005D5560"/>
    <w:rsid w:val="005D5A94"/>
    <w:rsid w:val="005D63E1"/>
    <w:rsid w:val="005D69ED"/>
    <w:rsid w:val="005D6A7F"/>
    <w:rsid w:val="005D6E5B"/>
    <w:rsid w:val="005D7337"/>
    <w:rsid w:val="005D785A"/>
    <w:rsid w:val="005D792C"/>
    <w:rsid w:val="005D7AAF"/>
    <w:rsid w:val="005D7AD1"/>
    <w:rsid w:val="005D7B6A"/>
    <w:rsid w:val="005E0292"/>
    <w:rsid w:val="005E056C"/>
    <w:rsid w:val="005E17EE"/>
    <w:rsid w:val="005E25D7"/>
    <w:rsid w:val="005E393B"/>
    <w:rsid w:val="005E402F"/>
    <w:rsid w:val="005E4F94"/>
    <w:rsid w:val="005E51F4"/>
    <w:rsid w:val="005E5849"/>
    <w:rsid w:val="005E5BD3"/>
    <w:rsid w:val="005E6259"/>
    <w:rsid w:val="005E6484"/>
    <w:rsid w:val="005E7115"/>
    <w:rsid w:val="005E7E5D"/>
    <w:rsid w:val="005F0E01"/>
    <w:rsid w:val="005F16C4"/>
    <w:rsid w:val="005F18BA"/>
    <w:rsid w:val="005F1A53"/>
    <w:rsid w:val="005F1BB5"/>
    <w:rsid w:val="005F2153"/>
    <w:rsid w:val="005F2792"/>
    <w:rsid w:val="005F32C4"/>
    <w:rsid w:val="005F394A"/>
    <w:rsid w:val="005F425A"/>
    <w:rsid w:val="005F4271"/>
    <w:rsid w:val="005F4657"/>
    <w:rsid w:val="005F53F0"/>
    <w:rsid w:val="005F54F9"/>
    <w:rsid w:val="005F598B"/>
    <w:rsid w:val="005F59F8"/>
    <w:rsid w:val="005F5B88"/>
    <w:rsid w:val="005F5FD6"/>
    <w:rsid w:val="005F7DAC"/>
    <w:rsid w:val="00600413"/>
    <w:rsid w:val="00600A44"/>
    <w:rsid w:val="0060126B"/>
    <w:rsid w:val="00601341"/>
    <w:rsid w:val="00601E6F"/>
    <w:rsid w:val="0060244D"/>
    <w:rsid w:val="006028A7"/>
    <w:rsid w:val="0060291C"/>
    <w:rsid w:val="00602B62"/>
    <w:rsid w:val="00603577"/>
    <w:rsid w:val="00603A31"/>
    <w:rsid w:val="00603E45"/>
    <w:rsid w:val="00604231"/>
    <w:rsid w:val="00604BE4"/>
    <w:rsid w:val="00604E83"/>
    <w:rsid w:val="00604F25"/>
    <w:rsid w:val="006052A3"/>
    <w:rsid w:val="006057D6"/>
    <w:rsid w:val="006059E4"/>
    <w:rsid w:val="00606D6D"/>
    <w:rsid w:val="00606E96"/>
    <w:rsid w:val="006072EF"/>
    <w:rsid w:val="00607362"/>
    <w:rsid w:val="00610816"/>
    <w:rsid w:val="00610F41"/>
    <w:rsid w:val="00611715"/>
    <w:rsid w:val="00611A6C"/>
    <w:rsid w:val="00612094"/>
    <w:rsid w:val="0061238D"/>
    <w:rsid w:val="006126F9"/>
    <w:rsid w:val="00612915"/>
    <w:rsid w:val="00612EE3"/>
    <w:rsid w:val="006136CF"/>
    <w:rsid w:val="00613EAF"/>
    <w:rsid w:val="0061418C"/>
    <w:rsid w:val="006141CB"/>
    <w:rsid w:val="0061432D"/>
    <w:rsid w:val="00615040"/>
    <w:rsid w:val="0061562D"/>
    <w:rsid w:val="00615F61"/>
    <w:rsid w:val="006171FB"/>
    <w:rsid w:val="0061770B"/>
    <w:rsid w:val="006179B0"/>
    <w:rsid w:val="00617A2B"/>
    <w:rsid w:val="00617FD9"/>
    <w:rsid w:val="006212C2"/>
    <w:rsid w:val="0062197A"/>
    <w:rsid w:val="00621DC4"/>
    <w:rsid w:val="00621DE9"/>
    <w:rsid w:val="00622755"/>
    <w:rsid w:val="00623194"/>
    <w:rsid w:val="00623BBC"/>
    <w:rsid w:val="00623D39"/>
    <w:rsid w:val="00623F61"/>
    <w:rsid w:val="00623F7E"/>
    <w:rsid w:val="0062466B"/>
    <w:rsid w:val="006251D6"/>
    <w:rsid w:val="006261F0"/>
    <w:rsid w:val="00626D64"/>
    <w:rsid w:val="006270F8"/>
    <w:rsid w:val="00630002"/>
    <w:rsid w:val="00630805"/>
    <w:rsid w:val="006308C9"/>
    <w:rsid w:val="0063100D"/>
    <w:rsid w:val="006312B5"/>
    <w:rsid w:val="00631525"/>
    <w:rsid w:val="006315D0"/>
    <w:rsid w:val="00631B4F"/>
    <w:rsid w:val="00631BF8"/>
    <w:rsid w:val="00631E2A"/>
    <w:rsid w:val="00631F31"/>
    <w:rsid w:val="006320ED"/>
    <w:rsid w:val="006328EF"/>
    <w:rsid w:val="00632D81"/>
    <w:rsid w:val="00632E72"/>
    <w:rsid w:val="00632E95"/>
    <w:rsid w:val="00632FCB"/>
    <w:rsid w:val="00633949"/>
    <w:rsid w:val="0063416B"/>
    <w:rsid w:val="0063472C"/>
    <w:rsid w:val="00634AE4"/>
    <w:rsid w:val="00634BCB"/>
    <w:rsid w:val="00634E6A"/>
    <w:rsid w:val="0063640F"/>
    <w:rsid w:val="00637277"/>
    <w:rsid w:val="00637865"/>
    <w:rsid w:val="00637B04"/>
    <w:rsid w:val="0064096B"/>
    <w:rsid w:val="006409F6"/>
    <w:rsid w:val="00641B48"/>
    <w:rsid w:val="00641EDC"/>
    <w:rsid w:val="00641F18"/>
    <w:rsid w:val="00643C48"/>
    <w:rsid w:val="00644182"/>
    <w:rsid w:val="006442F4"/>
    <w:rsid w:val="0064503B"/>
    <w:rsid w:val="00645106"/>
    <w:rsid w:val="00645116"/>
    <w:rsid w:val="0064549D"/>
    <w:rsid w:val="006461E1"/>
    <w:rsid w:val="00646382"/>
    <w:rsid w:val="00646865"/>
    <w:rsid w:val="00646B0C"/>
    <w:rsid w:val="00646DCE"/>
    <w:rsid w:val="006473EF"/>
    <w:rsid w:val="006476B8"/>
    <w:rsid w:val="006478D2"/>
    <w:rsid w:val="00647963"/>
    <w:rsid w:val="00647CEA"/>
    <w:rsid w:val="00650046"/>
    <w:rsid w:val="006501E0"/>
    <w:rsid w:val="00650797"/>
    <w:rsid w:val="00650CFD"/>
    <w:rsid w:val="006510FF"/>
    <w:rsid w:val="00651651"/>
    <w:rsid w:val="00651884"/>
    <w:rsid w:val="00651897"/>
    <w:rsid w:val="006521CE"/>
    <w:rsid w:val="00652550"/>
    <w:rsid w:val="0065278B"/>
    <w:rsid w:val="0065362D"/>
    <w:rsid w:val="00653704"/>
    <w:rsid w:val="006540D8"/>
    <w:rsid w:val="006544E9"/>
    <w:rsid w:val="00654CEA"/>
    <w:rsid w:val="00654DCB"/>
    <w:rsid w:val="006577FC"/>
    <w:rsid w:val="00657A9D"/>
    <w:rsid w:val="00660457"/>
    <w:rsid w:val="0066095C"/>
    <w:rsid w:val="00660B3E"/>
    <w:rsid w:val="00660D08"/>
    <w:rsid w:val="00660DBA"/>
    <w:rsid w:val="00661529"/>
    <w:rsid w:val="00661A2B"/>
    <w:rsid w:val="00662593"/>
    <w:rsid w:val="00662785"/>
    <w:rsid w:val="0066410A"/>
    <w:rsid w:val="0066447D"/>
    <w:rsid w:val="006649C5"/>
    <w:rsid w:val="00664D17"/>
    <w:rsid w:val="00666C3C"/>
    <w:rsid w:val="00666CA2"/>
    <w:rsid w:val="00666F50"/>
    <w:rsid w:val="00667188"/>
    <w:rsid w:val="00667663"/>
    <w:rsid w:val="006700DF"/>
    <w:rsid w:val="006701B0"/>
    <w:rsid w:val="00670533"/>
    <w:rsid w:val="00670D15"/>
    <w:rsid w:val="00671CC3"/>
    <w:rsid w:val="00671F5C"/>
    <w:rsid w:val="0067220B"/>
    <w:rsid w:val="006724CA"/>
    <w:rsid w:val="00673CD8"/>
    <w:rsid w:val="00673CEB"/>
    <w:rsid w:val="00674033"/>
    <w:rsid w:val="006740FE"/>
    <w:rsid w:val="006741E0"/>
    <w:rsid w:val="006748AD"/>
    <w:rsid w:val="00675629"/>
    <w:rsid w:val="0067582D"/>
    <w:rsid w:val="00675E6C"/>
    <w:rsid w:val="00676727"/>
    <w:rsid w:val="00676A62"/>
    <w:rsid w:val="00677C52"/>
    <w:rsid w:val="00680AC0"/>
    <w:rsid w:val="00680B20"/>
    <w:rsid w:val="00680D92"/>
    <w:rsid w:val="00680FB4"/>
    <w:rsid w:val="00681533"/>
    <w:rsid w:val="0068167A"/>
    <w:rsid w:val="00682939"/>
    <w:rsid w:val="00682BF6"/>
    <w:rsid w:val="00682C6D"/>
    <w:rsid w:val="00682E21"/>
    <w:rsid w:val="00682EBA"/>
    <w:rsid w:val="00683C20"/>
    <w:rsid w:val="00684224"/>
    <w:rsid w:val="00684488"/>
    <w:rsid w:val="006845F3"/>
    <w:rsid w:val="00684932"/>
    <w:rsid w:val="00684C51"/>
    <w:rsid w:val="006859C3"/>
    <w:rsid w:val="00685C3F"/>
    <w:rsid w:val="006866DE"/>
    <w:rsid w:val="00686DAE"/>
    <w:rsid w:val="006873A5"/>
    <w:rsid w:val="00690285"/>
    <w:rsid w:val="00690BF4"/>
    <w:rsid w:val="00691455"/>
    <w:rsid w:val="00691771"/>
    <w:rsid w:val="00691C7A"/>
    <w:rsid w:val="00691CEA"/>
    <w:rsid w:val="00691E1C"/>
    <w:rsid w:val="006921B2"/>
    <w:rsid w:val="00692255"/>
    <w:rsid w:val="006928ED"/>
    <w:rsid w:val="00692F17"/>
    <w:rsid w:val="00692FC2"/>
    <w:rsid w:val="006931CA"/>
    <w:rsid w:val="00693CED"/>
    <w:rsid w:val="00694766"/>
    <w:rsid w:val="00695133"/>
    <w:rsid w:val="00696261"/>
    <w:rsid w:val="006965CD"/>
    <w:rsid w:val="0069682C"/>
    <w:rsid w:val="00696994"/>
    <w:rsid w:val="00697073"/>
    <w:rsid w:val="006972B2"/>
    <w:rsid w:val="006973AC"/>
    <w:rsid w:val="006974AF"/>
    <w:rsid w:val="00697E69"/>
    <w:rsid w:val="006A01B4"/>
    <w:rsid w:val="006A06E0"/>
    <w:rsid w:val="006A0A33"/>
    <w:rsid w:val="006A149E"/>
    <w:rsid w:val="006A2445"/>
    <w:rsid w:val="006A2621"/>
    <w:rsid w:val="006A2FBB"/>
    <w:rsid w:val="006A4517"/>
    <w:rsid w:val="006A549C"/>
    <w:rsid w:val="006A5AD1"/>
    <w:rsid w:val="006A62A9"/>
    <w:rsid w:val="006A6A58"/>
    <w:rsid w:val="006A6D1D"/>
    <w:rsid w:val="006A77B8"/>
    <w:rsid w:val="006A7E9C"/>
    <w:rsid w:val="006B0956"/>
    <w:rsid w:val="006B19D3"/>
    <w:rsid w:val="006B19F5"/>
    <w:rsid w:val="006B25DB"/>
    <w:rsid w:val="006B3C0E"/>
    <w:rsid w:val="006B436E"/>
    <w:rsid w:val="006B4A4D"/>
    <w:rsid w:val="006B5726"/>
    <w:rsid w:val="006B581A"/>
    <w:rsid w:val="006B6897"/>
    <w:rsid w:val="006B68A3"/>
    <w:rsid w:val="006B6DC4"/>
    <w:rsid w:val="006B6EF3"/>
    <w:rsid w:val="006B7185"/>
    <w:rsid w:val="006B734A"/>
    <w:rsid w:val="006B7ED2"/>
    <w:rsid w:val="006B7EF0"/>
    <w:rsid w:val="006C0432"/>
    <w:rsid w:val="006C04D5"/>
    <w:rsid w:val="006C2060"/>
    <w:rsid w:val="006C21F7"/>
    <w:rsid w:val="006C2575"/>
    <w:rsid w:val="006C25B2"/>
    <w:rsid w:val="006C2B43"/>
    <w:rsid w:val="006C2DC4"/>
    <w:rsid w:val="006C36B8"/>
    <w:rsid w:val="006C4514"/>
    <w:rsid w:val="006C4AB3"/>
    <w:rsid w:val="006C4BD4"/>
    <w:rsid w:val="006C5A94"/>
    <w:rsid w:val="006C5C7D"/>
    <w:rsid w:val="006C6A99"/>
    <w:rsid w:val="006C6DDE"/>
    <w:rsid w:val="006C742A"/>
    <w:rsid w:val="006C750C"/>
    <w:rsid w:val="006C77F3"/>
    <w:rsid w:val="006D109C"/>
    <w:rsid w:val="006D1507"/>
    <w:rsid w:val="006D1CF6"/>
    <w:rsid w:val="006D286D"/>
    <w:rsid w:val="006D297C"/>
    <w:rsid w:val="006D2E33"/>
    <w:rsid w:val="006D2EBA"/>
    <w:rsid w:val="006D31D0"/>
    <w:rsid w:val="006D321D"/>
    <w:rsid w:val="006D35A5"/>
    <w:rsid w:val="006D3875"/>
    <w:rsid w:val="006D465D"/>
    <w:rsid w:val="006D4680"/>
    <w:rsid w:val="006D4B17"/>
    <w:rsid w:val="006D4DEF"/>
    <w:rsid w:val="006D5794"/>
    <w:rsid w:val="006D5829"/>
    <w:rsid w:val="006D5AC5"/>
    <w:rsid w:val="006D6318"/>
    <w:rsid w:val="006D6704"/>
    <w:rsid w:val="006D6DCC"/>
    <w:rsid w:val="006E0230"/>
    <w:rsid w:val="006E0E05"/>
    <w:rsid w:val="006E0FA6"/>
    <w:rsid w:val="006E135D"/>
    <w:rsid w:val="006E1FB4"/>
    <w:rsid w:val="006E2249"/>
    <w:rsid w:val="006E23AF"/>
    <w:rsid w:val="006E2829"/>
    <w:rsid w:val="006E2FB2"/>
    <w:rsid w:val="006E38D8"/>
    <w:rsid w:val="006E3DA1"/>
    <w:rsid w:val="006E5EDD"/>
    <w:rsid w:val="006E61FF"/>
    <w:rsid w:val="006E6219"/>
    <w:rsid w:val="006E634A"/>
    <w:rsid w:val="006E70F4"/>
    <w:rsid w:val="006F01B9"/>
    <w:rsid w:val="006F0410"/>
    <w:rsid w:val="006F06B8"/>
    <w:rsid w:val="006F0819"/>
    <w:rsid w:val="006F0C8C"/>
    <w:rsid w:val="006F0E24"/>
    <w:rsid w:val="006F0E50"/>
    <w:rsid w:val="006F16E8"/>
    <w:rsid w:val="006F1704"/>
    <w:rsid w:val="006F1879"/>
    <w:rsid w:val="006F20FB"/>
    <w:rsid w:val="006F2216"/>
    <w:rsid w:val="006F23F2"/>
    <w:rsid w:val="006F2B56"/>
    <w:rsid w:val="006F3050"/>
    <w:rsid w:val="006F30B5"/>
    <w:rsid w:val="006F32E1"/>
    <w:rsid w:val="006F3870"/>
    <w:rsid w:val="006F41A5"/>
    <w:rsid w:val="006F47F7"/>
    <w:rsid w:val="006F5502"/>
    <w:rsid w:val="006F5D3F"/>
    <w:rsid w:val="006F61CE"/>
    <w:rsid w:val="006F6E12"/>
    <w:rsid w:val="006F728C"/>
    <w:rsid w:val="006F7BA9"/>
    <w:rsid w:val="007002AE"/>
    <w:rsid w:val="00700323"/>
    <w:rsid w:val="0070115E"/>
    <w:rsid w:val="0070196B"/>
    <w:rsid w:val="00701BC3"/>
    <w:rsid w:val="00701CA4"/>
    <w:rsid w:val="00703543"/>
    <w:rsid w:val="007036B1"/>
    <w:rsid w:val="00703B99"/>
    <w:rsid w:val="00704708"/>
    <w:rsid w:val="00705C2B"/>
    <w:rsid w:val="00706491"/>
    <w:rsid w:val="007064DE"/>
    <w:rsid w:val="00707192"/>
    <w:rsid w:val="007071B7"/>
    <w:rsid w:val="0070748F"/>
    <w:rsid w:val="00707621"/>
    <w:rsid w:val="007079E6"/>
    <w:rsid w:val="00707B88"/>
    <w:rsid w:val="00707E60"/>
    <w:rsid w:val="00710130"/>
    <w:rsid w:val="00710389"/>
    <w:rsid w:val="00710F54"/>
    <w:rsid w:val="007117A1"/>
    <w:rsid w:val="00711F05"/>
    <w:rsid w:val="00712095"/>
    <w:rsid w:val="0071247D"/>
    <w:rsid w:val="007129F9"/>
    <w:rsid w:val="00712B66"/>
    <w:rsid w:val="0071321C"/>
    <w:rsid w:val="007140FC"/>
    <w:rsid w:val="00715577"/>
    <w:rsid w:val="00715935"/>
    <w:rsid w:val="00715A00"/>
    <w:rsid w:val="00715E8F"/>
    <w:rsid w:val="00716085"/>
    <w:rsid w:val="0071621F"/>
    <w:rsid w:val="007162FB"/>
    <w:rsid w:val="00716BE2"/>
    <w:rsid w:val="00717208"/>
    <w:rsid w:val="007172F7"/>
    <w:rsid w:val="007173B3"/>
    <w:rsid w:val="0071742B"/>
    <w:rsid w:val="0072048A"/>
    <w:rsid w:val="00720753"/>
    <w:rsid w:val="00720D69"/>
    <w:rsid w:val="00720DA6"/>
    <w:rsid w:val="007212A2"/>
    <w:rsid w:val="00721A27"/>
    <w:rsid w:val="00721C3D"/>
    <w:rsid w:val="00721C81"/>
    <w:rsid w:val="00721DCB"/>
    <w:rsid w:val="00722055"/>
    <w:rsid w:val="0072269E"/>
    <w:rsid w:val="007229AB"/>
    <w:rsid w:val="00722AE4"/>
    <w:rsid w:val="00722ED7"/>
    <w:rsid w:val="00722F24"/>
    <w:rsid w:val="00723D2C"/>
    <w:rsid w:val="00723EBC"/>
    <w:rsid w:val="00725819"/>
    <w:rsid w:val="0072655D"/>
    <w:rsid w:val="00726E60"/>
    <w:rsid w:val="00726E7A"/>
    <w:rsid w:val="0072753D"/>
    <w:rsid w:val="00727569"/>
    <w:rsid w:val="0072778F"/>
    <w:rsid w:val="00727E85"/>
    <w:rsid w:val="00730174"/>
    <w:rsid w:val="007310AC"/>
    <w:rsid w:val="007312E9"/>
    <w:rsid w:val="0073158A"/>
    <w:rsid w:val="0073159C"/>
    <w:rsid w:val="00731A58"/>
    <w:rsid w:val="00732013"/>
    <w:rsid w:val="00732272"/>
    <w:rsid w:val="007343AC"/>
    <w:rsid w:val="00734595"/>
    <w:rsid w:val="00734A28"/>
    <w:rsid w:val="00734F94"/>
    <w:rsid w:val="0073510A"/>
    <w:rsid w:val="0073539E"/>
    <w:rsid w:val="00735871"/>
    <w:rsid w:val="00736AA0"/>
    <w:rsid w:val="0073746D"/>
    <w:rsid w:val="007379E6"/>
    <w:rsid w:val="0074004F"/>
    <w:rsid w:val="007401B3"/>
    <w:rsid w:val="00741162"/>
    <w:rsid w:val="0074130B"/>
    <w:rsid w:val="00741AE5"/>
    <w:rsid w:val="00742489"/>
    <w:rsid w:val="007439D2"/>
    <w:rsid w:val="00744903"/>
    <w:rsid w:val="0074524A"/>
    <w:rsid w:val="00745269"/>
    <w:rsid w:val="00746962"/>
    <w:rsid w:val="00746B5F"/>
    <w:rsid w:val="007509D3"/>
    <w:rsid w:val="00750E2C"/>
    <w:rsid w:val="007510D9"/>
    <w:rsid w:val="00751874"/>
    <w:rsid w:val="00751C72"/>
    <w:rsid w:val="00752477"/>
    <w:rsid w:val="00752A1A"/>
    <w:rsid w:val="00752ACE"/>
    <w:rsid w:val="00752E7B"/>
    <w:rsid w:val="007535CC"/>
    <w:rsid w:val="00753ACD"/>
    <w:rsid w:val="00754264"/>
    <w:rsid w:val="007544CF"/>
    <w:rsid w:val="00755034"/>
    <w:rsid w:val="00755B49"/>
    <w:rsid w:val="00755C95"/>
    <w:rsid w:val="00756068"/>
    <w:rsid w:val="00756C7B"/>
    <w:rsid w:val="007602A0"/>
    <w:rsid w:val="00760F2B"/>
    <w:rsid w:val="00760F6D"/>
    <w:rsid w:val="007612ED"/>
    <w:rsid w:val="007621B2"/>
    <w:rsid w:val="007625AF"/>
    <w:rsid w:val="00763051"/>
    <w:rsid w:val="0076406E"/>
    <w:rsid w:val="00764F80"/>
    <w:rsid w:val="007653F6"/>
    <w:rsid w:val="00765AF5"/>
    <w:rsid w:val="0076691D"/>
    <w:rsid w:val="0076693C"/>
    <w:rsid w:val="007669F2"/>
    <w:rsid w:val="007670CB"/>
    <w:rsid w:val="00767184"/>
    <w:rsid w:val="00767848"/>
    <w:rsid w:val="00770B9B"/>
    <w:rsid w:val="0077117C"/>
    <w:rsid w:val="007713EE"/>
    <w:rsid w:val="00771B11"/>
    <w:rsid w:val="00771CAE"/>
    <w:rsid w:val="00771EE7"/>
    <w:rsid w:val="00773475"/>
    <w:rsid w:val="007737AD"/>
    <w:rsid w:val="00773C45"/>
    <w:rsid w:val="0077486C"/>
    <w:rsid w:val="007754FA"/>
    <w:rsid w:val="00775631"/>
    <w:rsid w:val="0077591F"/>
    <w:rsid w:val="00776E35"/>
    <w:rsid w:val="00777F57"/>
    <w:rsid w:val="007803A6"/>
    <w:rsid w:val="0078059F"/>
    <w:rsid w:val="0078140D"/>
    <w:rsid w:val="00781FEA"/>
    <w:rsid w:val="007825D8"/>
    <w:rsid w:val="00783019"/>
    <w:rsid w:val="0078420F"/>
    <w:rsid w:val="00784312"/>
    <w:rsid w:val="007845ED"/>
    <w:rsid w:val="00784876"/>
    <w:rsid w:val="0078490E"/>
    <w:rsid w:val="00784917"/>
    <w:rsid w:val="00785886"/>
    <w:rsid w:val="00785F9C"/>
    <w:rsid w:val="007865E5"/>
    <w:rsid w:val="007866A3"/>
    <w:rsid w:val="007869B2"/>
    <w:rsid w:val="00787679"/>
    <w:rsid w:val="00787CBB"/>
    <w:rsid w:val="00787CED"/>
    <w:rsid w:val="007908A1"/>
    <w:rsid w:val="0079143D"/>
    <w:rsid w:val="00791C0E"/>
    <w:rsid w:val="00792999"/>
    <w:rsid w:val="00792D94"/>
    <w:rsid w:val="007937CE"/>
    <w:rsid w:val="00794DE8"/>
    <w:rsid w:val="007959A1"/>
    <w:rsid w:val="00796B9B"/>
    <w:rsid w:val="00796D95"/>
    <w:rsid w:val="007970D7"/>
    <w:rsid w:val="00797135"/>
    <w:rsid w:val="00797645"/>
    <w:rsid w:val="007979F6"/>
    <w:rsid w:val="00797BA8"/>
    <w:rsid w:val="00797CFB"/>
    <w:rsid w:val="00797E03"/>
    <w:rsid w:val="007A078D"/>
    <w:rsid w:val="007A0AF5"/>
    <w:rsid w:val="007A0B36"/>
    <w:rsid w:val="007A1788"/>
    <w:rsid w:val="007A1FF5"/>
    <w:rsid w:val="007A2165"/>
    <w:rsid w:val="007A25D0"/>
    <w:rsid w:val="007A2C7A"/>
    <w:rsid w:val="007A34E3"/>
    <w:rsid w:val="007A3C43"/>
    <w:rsid w:val="007A447F"/>
    <w:rsid w:val="007A4763"/>
    <w:rsid w:val="007A5EA2"/>
    <w:rsid w:val="007A6012"/>
    <w:rsid w:val="007A6C26"/>
    <w:rsid w:val="007A721E"/>
    <w:rsid w:val="007A735E"/>
    <w:rsid w:val="007A7402"/>
    <w:rsid w:val="007A77E7"/>
    <w:rsid w:val="007B1750"/>
    <w:rsid w:val="007B1D97"/>
    <w:rsid w:val="007B1DD5"/>
    <w:rsid w:val="007B23B4"/>
    <w:rsid w:val="007B266E"/>
    <w:rsid w:val="007B3305"/>
    <w:rsid w:val="007B388D"/>
    <w:rsid w:val="007B3F5A"/>
    <w:rsid w:val="007B4085"/>
    <w:rsid w:val="007B42EA"/>
    <w:rsid w:val="007B5C62"/>
    <w:rsid w:val="007B5DE5"/>
    <w:rsid w:val="007B5E5A"/>
    <w:rsid w:val="007B60B3"/>
    <w:rsid w:val="007B6690"/>
    <w:rsid w:val="007B6FD9"/>
    <w:rsid w:val="007B730B"/>
    <w:rsid w:val="007B750B"/>
    <w:rsid w:val="007B7796"/>
    <w:rsid w:val="007B7BE4"/>
    <w:rsid w:val="007C0199"/>
    <w:rsid w:val="007C0C4B"/>
    <w:rsid w:val="007C0D7A"/>
    <w:rsid w:val="007C0F3F"/>
    <w:rsid w:val="007C0F43"/>
    <w:rsid w:val="007C1507"/>
    <w:rsid w:val="007C15B7"/>
    <w:rsid w:val="007C243D"/>
    <w:rsid w:val="007C29E9"/>
    <w:rsid w:val="007C2D1E"/>
    <w:rsid w:val="007C429B"/>
    <w:rsid w:val="007C44B5"/>
    <w:rsid w:val="007C44FB"/>
    <w:rsid w:val="007C4F14"/>
    <w:rsid w:val="007C5685"/>
    <w:rsid w:val="007C5AC5"/>
    <w:rsid w:val="007C602E"/>
    <w:rsid w:val="007C659D"/>
    <w:rsid w:val="007C6D2F"/>
    <w:rsid w:val="007C737B"/>
    <w:rsid w:val="007C7984"/>
    <w:rsid w:val="007D0785"/>
    <w:rsid w:val="007D0890"/>
    <w:rsid w:val="007D0D73"/>
    <w:rsid w:val="007D1728"/>
    <w:rsid w:val="007D2FED"/>
    <w:rsid w:val="007D35B1"/>
    <w:rsid w:val="007D3937"/>
    <w:rsid w:val="007D4504"/>
    <w:rsid w:val="007D619A"/>
    <w:rsid w:val="007D6A60"/>
    <w:rsid w:val="007D7133"/>
    <w:rsid w:val="007D7521"/>
    <w:rsid w:val="007D7CCF"/>
    <w:rsid w:val="007E04D6"/>
    <w:rsid w:val="007E0B77"/>
    <w:rsid w:val="007E134D"/>
    <w:rsid w:val="007E1514"/>
    <w:rsid w:val="007E2F7F"/>
    <w:rsid w:val="007E333D"/>
    <w:rsid w:val="007E419A"/>
    <w:rsid w:val="007E449B"/>
    <w:rsid w:val="007E50F9"/>
    <w:rsid w:val="007E5456"/>
    <w:rsid w:val="007E546E"/>
    <w:rsid w:val="007E5A30"/>
    <w:rsid w:val="007E5CCC"/>
    <w:rsid w:val="007E6705"/>
    <w:rsid w:val="007E6CCD"/>
    <w:rsid w:val="007E7269"/>
    <w:rsid w:val="007E7474"/>
    <w:rsid w:val="007E7C99"/>
    <w:rsid w:val="007F063B"/>
    <w:rsid w:val="007F0739"/>
    <w:rsid w:val="007F0901"/>
    <w:rsid w:val="007F0E9F"/>
    <w:rsid w:val="007F2CD9"/>
    <w:rsid w:val="007F3141"/>
    <w:rsid w:val="007F3405"/>
    <w:rsid w:val="007F3CB5"/>
    <w:rsid w:val="007F512F"/>
    <w:rsid w:val="007F52B9"/>
    <w:rsid w:val="007F53CD"/>
    <w:rsid w:val="007F5922"/>
    <w:rsid w:val="007F5B13"/>
    <w:rsid w:val="007F63ED"/>
    <w:rsid w:val="007F6728"/>
    <w:rsid w:val="007F6D7E"/>
    <w:rsid w:val="007F73D5"/>
    <w:rsid w:val="007F7589"/>
    <w:rsid w:val="007F7863"/>
    <w:rsid w:val="007F794D"/>
    <w:rsid w:val="007F7D80"/>
    <w:rsid w:val="008000F3"/>
    <w:rsid w:val="00800C0E"/>
    <w:rsid w:val="008014A5"/>
    <w:rsid w:val="008017F5"/>
    <w:rsid w:val="008022BD"/>
    <w:rsid w:val="0080288A"/>
    <w:rsid w:val="0080289E"/>
    <w:rsid w:val="00803CCA"/>
    <w:rsid w:val="00803F3F"/>
    <w:rsid w:val="008040E0"/>
    <w:rsid w:val="00804CB9"/>
    <w:rsid w:val="00805016"/>
    <w:rsid w:val="0080504A"/>
    <w:rsid w:val="00806C76"/>
    <w:rsid w:val="00807174"/>
    <w:rsid w:val="0080754D"/>
    <w:rsid w:val="008077C6"/>
    <w:rsid w:val="0081010F"/>
    <w:rsid w:val="008102E3"/>
    <w:rsid w:val="00810B2D"/>
    <w:rsid w:val="00810F0C"/>
    <w:rsid w:val="00810F3A"/>
    <w:rsid w:val="0081109E"/>
    <w:rsid w:val="00813E55"/>
    <w:rsid w:val="0081442B"/>
    <w:rsid w:val="008144E8"/>
    <w:rsid w:val="00814A8D"/>
    <w:rsid w:val="00814E14"/>
    <w:rsid w:val="008155D6"/>
    <w:rsid w:val="0081643F"/>
    <w:rsid w:val="00816D4E"/>
    <w:rsid w:val="00817220"/>
    <w:rsid w:val="00817601"/>
    <w:rsid w:val="008176A9"/>
    <w:rsid w:val="00817C5D"/>
    <w:rsid w:val="0082064F"/>
    <w:rsid w:val="00820E3D"/>
    <w:rsid w:val="00822007"/>
    <w:rsid w:val="00822EC2"/>
    <w:rsid w:val="00822FD3"/>
    <w:rsid w:val="00823067"/>
    <w:rsid w:val="0082376D"/>
    <w:rsid w:val="00823F69"/>
    <w:rsid w:val="0082402C"/>
    <w:rsid w:val="00825D78"/>
    <w:rsid w:val="00826516"/>
    <w:rsid w:val="00826B49"/>
    <w:rsid w:val="00826BED"/>
    <w:rsid w:val="00826D23"/>
    <w:rsid w:val="008277F6"/>
    <w:rsid w:val="00827D58"/>
    <w:rsid w:val="008303F1"/>
    <w:rsid w:val="0083099C"/>
    <w:rsid w:val="00830FD1"/>
    <w:rsid w:val="008314C1"/>
    <w:rsid w:val="0083249C"/>
    <w:rsid w:val="008327F1"/>
    <w:rsid w:val="00833606"/>
    <w:rsid w:val="00834514"/>
    <w:rsid w:val="00834C46"/>
    <w:rsid w:val="00835575"/>
    <w:rsid w:val="00835A13"/>
    <w:rsid w:val="00837019"/>
    <w:rsid w:val="0083716B"/>
    <w:rsid w:val="00837284"/>
    <w:rsid w:val="008402AA"/>
    <w:rsid w:val="00841C48"/>
    <w:rsid w:val="0084233C"/>
    <w:rsid w:val="00842717"/>
    <w:rsid w:val="00842DA0"/>
    <w:rsid w:val="00842F53"/>
    <w:rsid w:val="00843907"/>
    <w:rsid w:val="0084425A"/>
    <w:rsid w:val="00845C7D"/>
    <w:rsid w:val="00845D4A"/>
    <w:rsid w:val="00846947"/>
    <w:rsid w:val="00846CB6"/>
    <w:rsid w:val="00847850"/>
    <w:rsid w:val="00850607"/>
    <w:rsid w:val="008511D3"/>
    <w:rsid w:val="00851821"/>
    <w:rsid w:val="008523C2"/>
    <w:rsid w:val="008525A6"/>
    <w:rsid w:val="00852D39"/>
    <w:rsid w:val="008547B8"/>
    <w:rsid w:val="00854ABA"/>
    <w:rsid w:val="00855936"/>
    <w:rsid w:val="00855DBC"/>
    <w:rsid w:val="00856DE9"/>
    <w:rsid w:val="008578E8"/>
    <w:rsid w:val="00860FDA"/>
    <w:rsid w:val="00861746"/>
    <w:rsid w:val="00862155"/>
    <w:rsid w:val="008624F8"/>
    <w:rsid w:val="00862A37"/>
    <w:rsid w:val="008639E8"/>
    <w:rsid w:val="00863C9D"/>
    <w:rsid w:val="0086409C"/>
    <w:rsid w:val="00864F43"/>
    <w:rsid w:val="00865E54"/>
    <w:rsid w:val="008661BD"/>
    <w:rsid w:val="00866378"/>
    <w:rsid w:val="0086674A"/>
    <w:rsid w:val="0086740E"/>
    <w:rsid w:val="00867A9F"/>
    <w:rsid w:val="00867B70"/>
    <w:rsid w:val="00870260"/>
    <w:rsid w:val="008707B1"/>
    <w:rsid w:val="0087117D"/>
    <w:rsid w:val="00871441"/>
    <w:rsid w:val="00871D8D"/>
    <w:rsid w:val="00872178"/>
    <w:rsid w:val="00872184"/>
    <w:rsid w:val="00872A5C"/>
    <w:rsid w:val="00874B54"/>
    <w:rsid w:val="00874CA4"/>
    <w:rsid w:val="00874F9A"/>
    <w:rsid w:val="0087525A"/>
    <w:rsid w:val="00875439"/>
    <w:rsid w:val="00875949"/>
    <w:rsid w:val="00875B91"/>
    <w:rsid w:val="0087601A"/>
    <w:rsid w:val="00876283"/>
    <w:rsid w:val="008764F6"/>
    <w:rsid w:val="008765B0"/>
    <w:rsid w:val="00876D11"/>
    <w:rsid w:val="008771A4"/>
    <w:rsid w:val="0087721C"/>
    <w:rsid w:val="00877827"/>
    <w:rsid w:val="00877E7E"/>
    <w:rsid w:val="00882680"/>
    <w:rsid w:val="008832CE"/>
    <w:rsid w:val="00884341"/>
    <w:rsid w:val="008846DD"/>
    <w:rsid w:val="00884B2A"/>
    <w:rsid w:val="008851B3"/>
    <w:rsid w:val="0088591A"/>
    <w:rsid w:val="00885CBB"/>
    <w:rsid w:val="00886271"/>
    <w:rsid w:val="008868B3"/>
    <w:rsid w:val="008868EF"/>
    <w:rsid w:val="008871EB"/>
    <w:rsid w:val="008872F2"/>
    <w:rsid w:val="0088768D"/>
    <w:rsid w:val="0088783E"/>
    <w:rsid w:val="00887EB6"/>
    <w:rsid w:val="008904F8"/>
    <w:rsid w:val="008908B0"/>
    <w:rsid w:val="00890D1E"/>
    <w:rsid w:val="00890D66"/>
    <w:rsid w:val="00891C2F"/>
    <w:rsid w:val="00891E14"/>
    <w:rsid w:val="00892719"/>
    <w:rsid w:val="008932A8"/>
    <w:rsid w:val="008933D1"/>
    <w:rsid w:val="00894C71"/>
    <w:rsid w:val="00894E25"/>
    <w:rsid w:val="008951BF"/>
    <w:rsid w:val="008954A9"/>
    <w:rsid w:val="008957D4"/>
    <w:rsid w:val="00895CBF"/>
    <w:rsid w:val="00895FDC"/>
    <w:rsid w:val="008967BD"/>
    <w:rsid w:val="00896EEB"/>
    <w:rsid w:val="008973C8"/>
    <w:rsid w:val="0089770A"/>
    <w:rsid w:val="00897A79"/>
    <w:rsid w:val="00897B37"/>
    <w:rsid w:val="008A01C8"/>
    <w:rsid w:val="008A05EC"/>
    <w:rsid w:val="008A1111"/>
    <w:rsid w:val="008A1638"/>
    <w:rsid w:val="008A310A"/>
    <w:rsid w:val="008A39F2"/>
    <w:rsid w:val="008A4BCB"/>
    <w:rsid w:val="008A5144"/>
    <w:rsid w:val="008A54D1"/>
    <w:rsid w:val="008A5506"/>
    <w:rsid w:val="008A5AD5"/>
    <w:rsid w:val="008A6F82"/>
    <w:rsid w:val="008A782E"/>
    <w:rsid w:val="008A7926"/>
    <w:rsid w:val="008A7BFF"/>
    <w:rsid w:val="008B063D"/>
    <w:rsid w:val="008B07D9"/>
    <w:rsid w:val="008B158E"/>
    <w:rsid w:val="008B16CD"/>
    <w:rsid w:val="008B1B09"/>
    <w:rsid w:val="008B2093"/>
    <w:rsid w:val="008B219C"/>
    <w:rsid w:val="008B2597"/>
    <w:rsid w:val="008B2814"/>
    <w:rsid w:val="008B3075"/>
    <w:rsid w:val="008B36E4"/>
    <w:rsid w:val="008B3DEC"/>
    <w:rsid w:val="008B41A7"/>
    <w:rsid w:val="008B48E2"/>
    <w:rsid w:val="008B48FA"/>
    <w:rsid w:val="008B5AD8"/>
    <w:rsid w:val="008B6466"/>
    <w:rsid w:val="008B666B"/>
    <w:rsid w:val="008B7FBD"/>
    <w:rsid w:val="008C0249"/>
    <w:rsid w:val="008C04B0"/>
    <w:rsid w:val="008C0DBF"/>
    <w:rsid w:val="008C13B5"/>
    <w:rsid w:val="008C35C0"/>
    <w:rsid w:val="008C35D9"/>
    <w:rsid w:val="008C36CB"/>
    <w:rsid w:val="008C39F7"/>
    <w:rsid w:val="008C43BC"/>
    <w:rsid w:val="008C4AF4"/>
    <w:rsid w:val="008C558E"/>
    <w:rsid w:val="008C57EE"/>
    <w:rsid w:val="008C5C5D"/>
    <w:rsid w:val="008C6261"/>
    <w:rsid w:val="008C68A0"/>
    <w:rsid w:val="008C691D"/>
    <w:rsid w:val="008C6C1A"/>
    <w:rsid w:val="008C6E8A"/>
    <w:rsid w:val="008C7072"/>
    <w:rsid w:val="008C75DE"/>
    <w:rsid w:val="008D0382"/>
    <w:rsid w:val="008D0636"/>
    <w:rsid w:val="008D08E0"/>
    <w:rsid w:val="008D1203"/>
    <w:rsid w:val="008D1A7A"/>
    <w:rsid w:val="008D1EFB"/>
    <w:rsid w:val="008D2BE9"/>
    <w:rsid w:val="008D309C"/>
    <w:rsid w:val="008D3257"/>
    <w:rsid w:val="008D3E18"/>
    <w:rsid w:val="008D3E35"/>
    <w:rsid w:val="008D42F7"/>
    <w:rsid w:val="008D4DC9"/>
    <w:rsid w:val="008D4E6D"/>
    <w:rsid w:val="008D5328"/>
    <w:rsid w:val="008D5435"/>
    <w:rsid w:val="008D5BD9"/>
    <w:rsid w:val="008D5ED9"/>
    <w:rsid w:val="008D642F"/>
    <w:rsid w:val="008D64EE"/>
    <w:rsid w:val="008D6754"/>
    <w:rsid w:val="008D6B91"/>
    <w:rsid w:val="008D6EF7"/>
    <w:rsid w:val="008D7149"/>
    <w:rsid w:val="008D7BEF"/>
    <w:rsid w:val="008D7C2E"/>
    <w:rsid w:val="008D7ED0"/>
    <w:rsid w:val="008E0319"/>
    <w:rsid w:val="008E0830"/>
    <w:rsid w:val="008E1316"/>
    <w:rsid w:val="008E1BF2"/>
    <w:rsid w:val="008E23B2"/>
    <w:rsid w:val="008E2AE8"/>
    <w:rsid w:val="008E38F5"/>
    <w:rsid w:val="008E3F31"/>
    <w:rsid w:val="008E4154"/>
    <w:rsid w:val="008E4223"/>
    <w:rsid w:val="008E4B4A"/>
    <w:rsid w:val="008E5022"/>
    <w:rsid w:val="008E5F01"/>
    <w:rsid w:val="008E689A"/>
    <w:rsid w:val="008E6BE1"/>
    <w:rsid w:val="008F0E4F"/>
    <w:rsid w:val="008F1959"/>
    <w:rsid w:val="008F1AA5"/>
    <w:rsid w:val="008F2870"/>
    <w:rsid w:val="008F2E64"/>
    <w:rsid w:val="008F2FA3"/>
    <w:rsid w:val="008F3526"/>
    <w:rsid w:val="008F360A"/>
    <w:rsid w:val="008F40C9"/>
    <w:rsid w:val="008F4195"/>
    <w:rsid w:val="008F4EBC"/>
    <w:rsid w:val="008F4F0A"/>
    <w:rsid w:val="008F4F6B"/>
    <w:rsid w:val="008F50BA"/>
    <w:rsid w:val="008F5265"/>
    <w:rsid w:val="008F6015"/>
    <w:rsid w:val="008F6814"/>
    <w:rsid w:val="008F703B"/>
    <w:rsid w:val="008F7086"/>
    <w:rsid w:val="008F7102"/>
    <w:rsid w:val="008F7EDA"/>
    <w:rsid w:val="00900FAC"/>
    <w:rsid w:val="00901018"/>
    <w:rsid w:val="009011B5"/>
    <w:rsid w:val="00901683"/>
    <w:rsid w:val="009016C2"/>
    <w:rsid w:val="00901DAE"/>
    <w:rsid w:val="0090208C"/>
    <w:rsid w:val="00902423"/>
    <w:rsid w:val="009024FC"/>
    <w:rsid w:val="009026B9"/>
    <w:rsid w:val="009028B2"/>
    <w:rsid w:val="00902D4A"/>
    <w:rsid w:val="009030C8"/>
    <w:rsid w:val="0090337E"/>
    <w:rsid w:val="009036CB"/>
    <w:rsid w:val="00903BC3"/>
    <w:rsid w:val="00903DC8"/>
    <w:rsid w:val="00904A5F"/>
    <w:rsid w:val="00904EEA"/>
    <w:rsid w:val="009074B2"/>
    <w:rsid w:val="009074C1"/>
    <w:rsid w:val="00910796"/>
    <w:rsid w:val="0091185C"/>
    <w:rsid w:val="00911F6C"/>
    <w:rsid w:val="00912749"/>
    <w:rsid w:val="00912D4A"/>
    <w:rsid w:val="009140AF"/>
    <w:rsid w:val="00914DB4"/>
    <w:rsid w:val="00915067"/>
    <w:rsid w:val="009155C5"/>
    <w:rsid w:val="009167F6"/>
    <w:rsid w:val="00916BC8"/>
    <w:rsid w:val="00916E04"/>
    <w:rsid w:val="00916FC8"/>
    <w:rsid w:val="00917316"/>
    <w:rsid w:val="00917617"/>
    <w:rsid w:val="00917633"/>
    <w:rsid w:val="00920515"/>
    <w:rsid w:val="00921112"/>
    <w:rsid w:val="00921480"/>
    <w:rsid w:val="00921B20"/>
    <w:rsid w:val="00921CB8"/>
    <w:rsid w:val="00922148"/>
    <w:rsid w:val="009222F8"/>
    <w:rsid w:val="0092239C"/>
    <w:rsid w:val="00923A62"/>
    <w:rsid w:val="0092435A"/>
    <w:rsid w:val="00924762"/>
    <w:rsid w:val="00924DD5"/>
    <w:rsid w:val="009250FF"/>
    <w:rsid w:val="0092527E"/>
    <w:rsid w:val="0092543F"/>
    <w:rsid w:val="009258E0"/>
    <w:rsid w:val="009266E5"/>
    <w:rsid w:val="00926801"/>
    <w:rsid w:val="009268FA"/>
    <w:rsid w:val="00927BB2"/>
    <w:rsid w:val="00927DBD"/>
    <w:rsid w:val="00927F26"/>
    <w:rsid w:val="009315E0"/>
    <w:rsid w:val="00931C73"/>
    <w:rsid w:val="00931F62"/>
    <w:rsid w:val="0093225E"/>
    <w:rsid w:val="00932718"/>
    <w:rsid w:val="00933A74"/>
    <w:rsid w:val="00933CBF"/>
    <w:rsid w:val="009346D4"/>
    <w:rsid w:val="00934F6C"/>
    <w:rsid w:val="00934F6D"/>
    <w:rsid w:val="00935497"/>
    <w:rsid w:val="00936214"/>
    <w:rsid w:val="00936808"/>
    <w:rsid w:val="00936882"/>
    <w:rsid w:val="00936A40"/>
    <w:rsid w:val="00936A7C"/>
    <w:rsid w:val="00936F04"/>
    <w:rsid w:val="0093703A"/>
    <w:rsid w:val="009377E4"/>
    <w:rsid w:val="00937A2A"/>
    <w:rsid w:val="00937C32"/>
    <w:rsid w:val="009404AC"/>
    <w:rsid w:val="00940513"/>
    <w:rsid w:val="00941380"/>
    <w:rsid w:val="0094162D"/>
    <w:rsid w:val="00941881"/>
    <w:rsid w:val="0094255A"/>
    <w:rsid w:val="00942631"/>
    <w:rsid w:val="00942876"/>
    <w:rsid w:val="009437FF"/>
    <w:rsid w:val="00944085"/>
    <w:rsid w:val="0094562A"/>
    <w:rsid w:val="0094594E"/>
    <w:rsid w:val="00945C07"/>
    <w:rsid w:val="00946A28"/>
    <w:rsid w:val="00946F02"/>
    <w:rsid w:val="00947473"/>
    <w:rsid w:val="009504FF"/>
    <w:rsid w:val="009506DE"/>
    <w:rsid w:val="009506FC"/>
    <w:rsid w:val="00950EF9"/>
    <w:rsid w:val="00952623"/>
    <w:rsid w:val="00952C4C"/>
    <w:rsid w:val="0095309C"/>
    <w:rsid w:val="009535BE"/>
    <w:rsid w:val="009538E3"/>
    <w:rsid w:val="0095491F"/>
    <w:rsid w:val="00954A41"/>
    <w:rsid w:val="00954E0C"/>
    <w:rsid w:val="00955649"/>
    <w:rsid w:val="00955656"/>
    <w:rsid w:val="009568B9"/>
    <w:rsid w:val="009569F9"/>
    <w:rsid w:val="00956C18"/>
    <w:rsid w:val="00957D07"/>
    <w:rsid w:val="00957EFF"/>
    <w:rsid w:val="00957FD7"/>
    <w:rsid w:val="00960102"/>
    <w:rsid w:val="00960A0A"/>
    <w:rsid w:val="00960A91"/>
    <w:rsid w:val="00960C90"/>
    <w:rsid w:val="009619E9"/>
    <w:rsid w:val="009624A1"/>
    <w:rsid w:val="00962EE1"/>
    <w:rsid w:val="00962F94"/>
    <w:rsid w:val="00963AC9"/>
    <w:rsid w:val="00963B09"/>
    <w:rsid w:val="00963CEB"/>
    <w:rsid w:val="00964449"/>
    <w:rsid w:val="0096584A"/>
    <w:rsid w:val="0096591E"/>
    <w:rsid w:val="00966362"/>
    <w:rsid w:val="0096764B"/>
    <w:rsid w:val="00967E92"/>
    <w:rsid w:val="00970197"/>
    <w:rsid w:val="00970722"/>
    <w:rsid w:val="009707C0"/>
    <w:rsid w:val="00970D06"/>
    <w:rsid w:val="009717D4"/>
    <w:rsid w:val="009722F4"/>
    <w:rsid w:val="00972AE4"/>
    <w:rsid w:val="00972E15"/>
    <w:rsid w:val="0097326B"/>
    <w:rsid w:val="00973402"/>
    <w:rsid w:val="00973E2F"/>
    <w:rsid w:val="00974129"/>
    <w:rsid w:val="0097440F"/>
    <w:rsid w:val="00975779"/>
    <w:rsid w:val="009757BC"/>
    <w:rsid w:val="00976FC2"/>
    <w:rsid w:val="00977837"/>
    <w:rsid w:val="00977F66"/>
    <w:rsid w:val="0098005F"/>
    <w:rsid w:val="00980120"/>
    <w:rsid w:val="009802DE"/>
    <w:rsid w:val="00980D38"/>
    <w:rsid w:val="00982544"/>
    <w:rsid w:val="009827D0"/>
    <w:rsid w:val="00983874"/>
    <w:rsid w:val="00983B9C"/>
    <w:rsid w:val="00983C2E"/>
    <w:rsid w:val="00984A0D"/>
    <w:rsid w:val="00984C4E"/>
    <w:rsid w:val="00986802"/>
    <w:rsid w:val="00987089"/>
    <w:rsid w:val="009871CB"/>
    <w:rsid w:val="00990020"/>
    <w:rsid w:val="00990B89"/>
    <w:rsid w:val="00992737"/>
    <w:rsid w:val="009929E3"/>
    <w:rsid w:val="00992B6B"/>
    <w:rsid w:val="00993121"/>
    <w:rsid w:val="00993E4E"/>
    <w:rsid w:val="0099431A"/>
    <w:rsid w:val="00994E5C"/>
    <w:rsid w:val="00995920"/>
    <w:rsid w:val="00995F70"/>
    <w:rsid w:val="0099675F"/>
    <w:rsid w:val="00996792"/>
    <w:rsid w:val="009975AC"/>
    <w:rsid w:val="00997D6D"/>
    <w:rsid w:val="009A0813"/>
    <w:rsid w:val="009A09AB"/>
    <w:rsid w:val="009A0DB4"/>
    <w:rsid w:val="009A1241"/>
    <w:rsid w:val="009A15F4"/>
    <w:rsid w:val="009A165E"/>
    <w:rsid w:val="009A1FAC"/>
    <w:rsid w:val="009A24BD"/>
    <w:rsid w:val="009A2C03"/>
    <w:rsid w:val="009A3F77"/>
    <w:rsid w:val="009A556E"/>
    <w:rsid w:val="009A577F"/>
    <w:rsid w:val="009A5932"/>
    <w:rsid w:val="009A5FCA"/>
    <w:rsid w:val="009A6F3E"/>
    <w:rsid w:val="009B00F2"/>
    <w:rsid w:val="009B0841"/>
    <w:rsid w:val="009B136D"/>
    <w:rsid w:val="009B169B"/>
    <w:rsid w:val="009B17FB"/>
    <w:rsid w:val="009B1CF6"/>
    <w:rsid w:val="009B2975"/>
    <w:rsid w:val="009B307C"/>
    <w:rsid w:val="009B36D8"/>
    <w:rsid w:val="009B4720"/>
    <w:rsid w:val="009B529A"/>
    <w:rsid w:val="009B5D97"/>
    <w:rsid w:val="009B69D8"/>
    <w:rsid w:val="009B7392"/>
    <w:rsid w:val="009C127E"/>
    <w:rsid w:val="009C13B1"/>
    <w:rsid w:val="009C1561"/>
    <w:rsid w:val="009C27D2"/>
    <w:rsid w:val="009C41A8"/>
    <w:rsid w:val="009C437F"/>
    <w:rsid w:val="009C4BC6"/>
    <w:rsid w:val="009C4DCA"/>
    <w:rsid w:val="009C5E71"/>
    <w:rsid w:val="009C693F"/>
    <w:rsid w:val="009C6A69"/>
    <w:rsid w:val="009C6ACC"/>
    <w:rsid w:val="009C6BFB"/>
    <w:rsid w:val="009C6E92"/>
    <w:rsid w:val="009C70FA"/>
    <w:rsid w:val="009C783B"/>
    <w:rsid w:val="009C7E60"/>
    <w:rsid w:val="009D0865"/>
    <w:rsid w:val="009D0943"/>
    <w:rsid w:val="009D094E"/>
    <w:rsid w:val="009D0C3D"/>
    <w:rsid w:val="009D1A81"/>
    <w:rsid w:val="009D1F9A"/>
    <w:rsid w:val="009D23BF"/>
    <w:rsid w:val="009D2593"/>
    <w:rsid w:val="009D27A4"/>
    <w:rsid w:val="009D477D"/>
    <w:rsid w:val="009D5D50"/>
    <w:rsid w:val="009D6003"/>
    <w:rsid w:val="009D6896"/>
    <w:rsid w:val="009D6D0A"/>
    <w:rsid w:val="009D7034"/>
    <w:rsid w:val="009D7346"/>
    <w:rsid w:val="009D7615"/>
    <w:rsid w:val="009D7B18"/>
    <w:rsid w:val="009D7F0C"/>
    <w:rsid w:val="009E0AEE"/>
    <w:rsid w:val="009E16F6"/>
    <w:rsid w:val="009E1BE4"/>
    <w:rsid w:val="009E1E32"/>
    <w:rsid w:val="009E1F1D"/>
    <w:rsid w:val="009E1FEC"/>
    <w:rsid w:val="009E2EB6"/>
    <w:rsid w:val="009E3081"/>
    <w:rsid w:val="009E3253"/>
    <w:rsid w:val="009E47D9"/>
    <w:rsid w:val="009E4EBF"/>
    <w:rsid w:val="009E6093"/>
    <w:rsid w:val="009E62FB"/>
    <w:rsid w:val="009E6B85"/>
    <w:rsid w:val="009E6F84"/>
    <w:rsid w:val="009E702A"/>
    <w:rsid w:val="009E70B4"/>
    <w:rsid w:val="009E7A94"/>
    <w:rsid w:val="009F2946"/>
    <w:rsid w:val="009F3EA8"/>
    <w:rsid w:val="009F4551"/>
    <w:rsid w:val="009F47FE"/>
    <w:rsid w:val="009F4CAD"/>
    <w:rsid w:val="009F52C4"/>
    <w:rsid w:val="009F5354"/>
    <w:rsid w:val="009F54A7"/>
    <w:rsid w:val="009F59F1"/>
    <w:rsid w:val="009F5A94"/>
    <w:rsid w:val="009F6330"/>
    <w:rsid w:val="009F68CE"/>
    <w:rsid w:val="009F6DB2"/>
    <w:rsid w:val="009F7009"/>
    <w:rsid w:val="00A00120"/>
    <w:rsid w:val="00A00299"/>
    <w:rsid w:val="00A00B73"/>
    <w:rsid w:val="00A010F8"/>
    <w:rsid w:val="00A0120F"/>
    <w:rsid w:val="00A0399E"/>
    <w:rsid w:val="00A03B3E"/>
    <w:rsid w:val="00A0402F"/>
    <w:rsid w:val="00A04AEF"/>
    <w:rsid w:val="00A04B3E"/>
    <w:rsid w:val="00A04EF5"/>
    <w:rsid w:val="00A05A0A"/>
    <w:rsid w:val="00A05A21"/>
    <w:rsid w:val="00A05A2D"/>
    <w:rsid w:val="00A06D8A"/>
    <w:rsid w:val="00A06FC8"/>
    <w:rsid w:val="00A074F5"/>
    <w:rsid w:val="00A1030E"/>
    <w:rsid w:val="00A10745"/>
    <w:rsid w:val="00A108F9"/>
    <w:rsid w:val="00A10CCC"/>
    <w:rsid w:val="00A10F6D"/>
    <w:rsid w:val="00A11041"/>
    <w:rsid w:val="00A11FF4"/>
    <w:rsid w:val="00A12343"/>
    <w:rsid w:val="00A1247C"/>
    <w:rsid w:val="00A126AA"/>
    <w:rsid w:val="00A13593"/>
    <w:rsid w:val="00A1374D"/>
    <w:rsid w:val="00A1384D"/>
    <w:rsid w:val="00A1384F"/>
    <w:rsid w:val="00A138E8"/>
    <w:rsid w:val="00A14576"/>
    <w:rsid w:val="00A15CA0"/>
    <w:rsid w:val="00A16262"/>
    <w:rsid w:val="00A16801"/>
    <w:rsid w:val="00A1689E"/>
    <w:rsid w:val="00A16E41"/>
    <w:rsid w:val="00A16F54"/>
    <w:rsid w:val="00A17027"/>
    <w:rsid w:val="00A17787"/>
    <w:rsid w:val="00A17DE9"/>
    <w:rsid w:val="00A20208"/>
    <w:rsid w:val="00A20C84"/>
    <w:rsid w:val="00A21400"/>
    <w:rsid w:val="00A215B7"/>
    <w:rsid w:val="00A21AC8"/>
    <w:rsid w:val="00A2210A"/>
    <w:rsid w:val="00A22131"/>
    <w:rsid w:val="00A2397C"/>
    <w:rsid w:val="00A23A32"/>
    <w:rsid w:val="00A23D1F"/>
    <w:rsid w:val="00A23F7E"/>
    <w:rsid w:val="00A24B45"/>
    <w:rsid w:val="00A24EC5"/>
    <w:rsid w:val="00A25122"/>
    <w:rsid w:val="00A252DC"/>
    <w:rsid w:val="00A25B81"/>
    <w:rsid w:val="00A26040"/>
    <w:rsid w:val="00A2679A"/>
    <w:rsid w:val="00A27A4D"/>
    <w:rsid w:val="00A27C6F"/>
    <w:rsid w:val="00A30D89"/>
    <w:rsid w:val="00A30D8C"/>
    <w:rsid w:val="00A316D1"/>
    <w:rsid w:val="00A31D74"/>
    <w:rsid w:val="00A32485"/>
    <w:rsid w:val="00A32C61"/>
    <w:rsid w:val="00A33345"/>
    <w:rsid w:val="00A33DAE"/>
    <w:rsid w:val="00A33F37"/>
    <w:rsid w:val="00A33FE5"/>
    <w:rsid w:val="00A34027"/>
    <w:rsid w:val="00A344FC"/>
    <w:rsid w:val="00A34B20"/>
    <w:rsid w:val="00A35634"/>
    <w:rsid w:val="00A35F20"/>
    <w:rsid w:val="00A37469"/>
    <w:rsid w:val="00A37A59"/>
    <w:rsid w:val="00A37B29"/>
    <w:rsid w:val="00A40E99"/>
    <w:rsid w:val="00A41FEA"/>
    <w:rsid w:val="00A42381"/>
    <w:rsid w:val="00A42508"/>
    <w:rsid w:val="00A42C5F"/>
    <w:rsid w:val="00A42F56"/>
    <w:rsid w:val="00A43135"/>
    <w:rsid w:val="00A434EB"/>
    <w:rsid w:val="00A436BC"/>
    <w:rsid w:val="00A43E2F"/>
    <w:rsid w:val="00A44BA3"/>
    <w:rsid w:val="00A44F15"/>
    <w:rsid w:val="00A450F4"/>
    <w:rsid w:val="00A463AD"/>
    <w:rsid w:val="00A466AC"/>
    <w:rsid w:val="00A46E3F"/>
    <w:rsid w:val="00A47181"/>
    <w:rsid w:val="00A47892"/>
    <w:rsid w:val="00A50141"/>
    <w:rsid w:val="00A506CE"/>
    <w:rsid w:val="00A50C15"/>
    <w:rsid w:val="00A50D7E"/>
    <w:rsid w:val="00A52867"/>
    <w:rsid w:val="00A52DB6"/>
    <w:rsid w:val="00A52E9C"/>
    <w:rsid w:val="00A53069"/>
    <w:rsid w:val="00A530F3"/>
    <w:rsid w:val="00A53827"/>
    <w:rsid w:val="00A54349"/>
    <w:rsid w:val="00A54C30"/>
    <w:rsid w:val="00A54C67"/>
    <w:rsid w:val="00A54ECA"/>
    <w:rsid w:val="00A550F6"/>
    <w:rsid w:val="00A56D59"/>
    <w:rsid w:val="00A5799D"/>
    <w:rsid w:val="00A605D1"/>
    <w:rsid w:val="00A60CC8"/>
    <w:rsid w:val="00A61126"/>
    <w:rsid w:val="00A620E3"/>
    <w:rsid w:val="00A628A3"/>
    <w:rsid w:val="00A62A7B"/>
    <w:rsid w:val="00A632CB"/>
    <w:rsid w:val="00A636BB"/>
    <w:rsid w:val="00A63BBE"/>
    <w:rsid w:val="00A64B53"/>
    <w:rsid w:val="00A64D5C"/>
    <w:rsid w:val="00A64D99"/>
    <w:rsid w:val="00A64E08"/>
    <w:rsid w:val="00A64EB9"/>
    <w:rsid w:val="00A65907"/>
    <w:rsid w:val="00A65C16"/>
    <w:rsid w:val="00A65C17"/>
    <w:rsid w:val="00A660AF"/>
    <w:rsid w:val="00A6633F"/>
    <w:rsid w:val="00A66CE4"/>
    <w:rsid w:val="00A7001F"/>
    <w:rsid w:val="00A7091B"/>
    <w:rsid w:val="00A70A9D"/>
    <w:rsid w:val="00A710BA"/>
    <w:rsid w:val="00A71672"/>
    <w:rsid w:val="00A71C24"/>
    <w:rsid w:val="00A7214E"/>
    <w:rsid w:val="00A72F53"/>
    <w:rsid w:val="00A72F6F"/>
    <w:rsid w:val="00A73468"/>
    <w:rsid w:val="00A73A8E"/>
    <w:rsid w:val="00A73C31"/>
    <w:rsid w:val="00A73DFD"/>
    <w:rsid w:val="00A75274"/>
    <w:rsid w:val="00A752BB"/>
    <w:rsid w:val="00A7574C"/>
    <w:rsid w:val="00A762A7"/>
    <w:rsid w:val="00A76DC0"/>
    <w:rsid w:val="00A76E0F"/>
    <w:rsid w:val="00A76ED3"/>
    <w:rsid w:val="00A80B2D"/>
    <w:rsid w:val="00A80FB2"/>
    <w:rsid w:val="00A81545"/>
    <w:rsid w:val="00A81C5A"/>
    <w:rsid w:val="00A82B70"/>
    <w:rsid w:val="00A82E56"/>
    <w:rsid w:val="00A8436E"/>
    <w:rsid w:val="00A8548D"/>
    <w:rsid w:val="00A856FE"/>
    <w:rsid w:val="00A85B70"/>
    <w:rsid w:val="00A86D5C"/>
    <w:rsid w:val="00A90115"/>
    <w:rsid w:val="00A92088"/>
    <w:rsid w:val="00A926B4"/>
    <w:rsid w:val="00A92BD8"/>
    <w:rsid w:val="00A92F03"/>
    <w:rsid w:val="00A93CE3"/>
    <w:rsid w:val="00A9472A"/>
    <w:rsid w:val="00A94E92"/>
    <w:rsid w:val="00A95303"/>
    <w:rsid w:val="00A953F0"/>
    <w:rsid w:val="00A959D8"/>
    <w:rsid w:val="00A96787"/>
    <w:rsid w:val="00A96B92"/>
    <w:rsid w:val="00A96DDF"/>
    <w:rsid w:val="00A9719C"/>
    <w:rsid w:val="00A975A7"/>
    <w:rsid w:val="00A97E7F"/>
    <w:rsid w:val="00AA050C"/>
    <w:rsid w:val="00AA0AF3"/>
    <w:rsid w:val="00AA0B91"/>
    <w:rsid w:val="00AA218C"/>
    <w:rsid w:val="00AA22F7"/>
    <w:rsid w:val="00AA2717"/>
    <w:rsid w:val="00AA2E50"/>
    <w:rsid w:val="00AA35A5"/>
    <w:rsid w:val="00AA3661"/>
    <w:rsid w:val="00AA393A"/>
    <w:rsid w:val="00AA39CF"/>
    <w:rsid w:val="00AA3BB3"/>
    <w:rsid w:val="00AA3D61"/>
    <w:rsid w:val="00AA4998"/>
    <w:rsid w:val="00AA4E09"/>
    <w:rsid w:val="00AA521E"/>
    <w:rsid w:val="00AA532A"/>
    <w:rsid w:val="00AA554D"/>
    <w:rsid w:val="00AA651A"/>
    <w:rsid w:val="00AA67BF"/>
    <w:rsid w:val="00AA684F"/>
    <w:rsid w:val="00AA74D2"/>
    <w:rsid w:val="00AA752C"/>
    <w:rsid w:val="00AA7CEE"/>
    <w:rsid w:val="00AB064D"/>
    <w:rsid w:val="00AB13BD"/>
    <w:rsid w:val="00AB1607"/>
    <w:rsid w:val="00AB17BE"/>
    <w:rsid w:val="00AB1895"/>
    <w:rsid w:val="00AB1D65"/>
    <w:rsid w:val="00AB252B"/>
    <w:rsid w:val="00AB34ED"/>
    <w:rsid w:val="00AB38E5"/>
    <w:rsid w:val="00AB431B"/>
    <w:rsid w:val="00AB457D"/>
    <w:rsid w:val="00AB45C3"/>
    <w:rsid w:val="00AB480C"/>
    <w:rsid w:val="00AB4D87"/>
    <w:rsid w:val="00AB4EA4"/>
    <w:rsid w:val="00AB5159"/>
    <w:rsid w:val="00AB5A37"/>
    <w:rsid w:val="00AB666C"/>
    <w:rsid w:val="00AB6D20"/>
    <w:rsid w:val="00AC175E"/>
    <w:rsid w:val="00AC19B6"/>
    <w:rsid w:val="00AC1B90"/>
    <w:rsid w:val="00AC2FF8"/>
    <w:rsid w:val="00AC30C8"/>
    <w:rsid w:val="00AC33AD"/>
    <w:rsid w:val="00AC4623"/>
    <w:rsid w:val="00AC4A11"/>
    <w:rsid w:val="00AC4EFE"/>
    <w:rsid w:val="00AC52F9"/>
    <w:rsid w:val="00AC5A08"/>
    <w:rsid w:val="00AC5D4D"/>
    <w:rsid w:val="00AC5E9B"/>
    <w:rsid w:val="00AC62DB"/>
    <w:rsid w:val="00AC6A3E"/>
    <w:rsid w:val="00AC6C3D"/>
    <w:rsid w:val="00AC76F5"/>
    <w:rsid w:val="00AC7849"/>
    <w:rsid w:val="00AC7DDA"/>
    <w:rsid w:val="00AD0C83"/>
    <w:rsid w:val="00AD13F3"/>
    <w:rsid w:val="00AD1C1A"/>
    <w:rsid w:val="00AD263E"/>
    <w:rsid w:val="00AD27E4"/>
    <w:rsid w:val="00AD28C2"/>
    <w:rsid w:val="00AD3026"/>
    <w:rsid w:val="00AD3303"/>
    <w:rsid w:val="00AD37A0"/>
    <w:rsid w:val="00AD3823"/>
    <w:rsid w:val="00AD3D1C"/>
    <w:rsid w:val="00AD3E91"/>
    <w:rsid w:val="00AD5170"/>
    <w:rsid w:val="00AD51B8"/>
    <w:rsid w:val="00AD537B"/>
    <w:rsid w:val="00AD5CEF"/>
    <w:rsid w:val="00AD6B2F"/>
    <w:rsid w:val="00AD6F61"/>
    <w:rsid w:val="00AE04FD"/>
    <w:rsid w:val="00AE0683"/>
    <w:rsid w:val="00AE06F3"/>
    <w:rsid w:val="00AE0F19"/>
    <w:rsid w:val="00AE1EEE"/>
    <w:rsid w:val="00AE324D"/>
    <w:rsid w:val="00AE382E"/>
    <w:rsid w:val="00AE3B09"/>
    <w:rsid w:val="00AE426F"/>
    <w:rsid w:val="00AE42CD"/>
    <w:rsid w:val="00AE4CDB"/>
    <w:rsid w:val="00AE537A"/>
    <w:rsid w:val="00AE582D"/>
    <w:rsid w:val="00AE61C4"/>
    <w:rsid w:val="00AE6D89"/>
    <w:rsid w:val="00AE75F6"/>
    <w:rsid w:val="00AF02E3"/>
    <w:rsid w:val="00AF0659"/>
    <w:rsid w:val="00AF0D8B"/>
    <w:rsid w:val="00AF0E9D"/>
    <w:rsid w:val="00AF1D2E"/>
    <w:rsid w:val="00AF1EF2"/>
    <w:rsid w:val="00AF2173"/>
    <w:rsid w:val="00AF23D8"/>
    <w:rsid w:val="00AF27B2"/>
    <w:rsid w:val="00AF2DE6"/>
    <w:rsid w:val="00AF3805"/>
    <w:rsid w:val="00AF3904"/>
    <w:rsid w:val="00AF5BAC"/>
    <w:rsid w:val="00AF6F6F"/>
    <w:rsid w:val="00AF740D"/>
    <w:rsid w:val="00AF7A44"/>
    <w:rsid w:val="00AF7D38"/>
    <w:rsid w:val="00AF7DFF"/>
    <w:rsid w:val="00B0022E"/>
    <w:rsid w:val="00B00247"/>
    <w:rsid w:val="00B00F7A"/>
    <w:rsid w:val="00B01072"/>
    <w:rsid w:val="00B017AF"/>
    <w:rsid w:val="00B018CE"/>
    <w:rsid w:val="00B02713"/>
    <w:rsid w:val="00B02BAF"/>
    <w:rsid w:val="00B03842"/>
    <w:rsid w:val="00B040C2"/>
    <w:rsid w:val="00B049B5"/>
    <w:rsid w:val="00B052A6"/>
    <w:rsid w:val="00B05E47"/>
    <w:rsid w:val="00B05E4B"/>
    <w:rsid w:val="00B05FCC"/>
    <w:rsid w:val="00B06293"/>
    <w:rsid w:val="00B06FB1"/>
    <w:rsid w:val="00B10341"/>
    <w:rsid w:val="00B10736"/>
    <w:rsid w:val="00B10C56"/>
    <w:rsid w:val="00B1127E"/>
    <w:rsid w:val="00B1147B"/>
    <w:rsid w:val="00B118A2"/>
    <w:rsid w:val="00B122E1"/>
    <w:rsid w:val="00B12633"/>
    <w:rsid w:val="00B12AC3"/>
    <w:rsid w:val="00B134E7"/>
    <w:rsid w:val="00B14180"/>
    <w:rsid w:val="00B16292"/>
    <w:rsid w:val="00B162FB"/>
    <w:rsid w:val="00B16572"/>
    <w:rsid w:val="00B17371"/>
    <w:rsid w:val="00B1756A"/>
    <w:rsid w:val="00B17788"/>
    <w:rsid w:val="00B17CBF"/>
    <w:rsid w:val="00B17E39"/>
    <w:rsid w:val="00B17E65"/>
    <w:rsid w:val="00B20308"/>
    <w:rsid w:val="00B204AA"/>
    <w:rsid w:val="00B205CF"/>
    <w:rsid w:val="00B20D44"/>
    <w:rsid w:val="00B211BD"/>
    <w:rsid w:val="00B2136F"/>
    <w:rsid w:val="00B21430"/>
    <w:rsid w:val="00B21879"/>
    <w:rsid w:val="00B21CCB"/>
    <w:rsid w:val="00B23EC5"/>
    <w:rsid w:val="00B24AFB"/>
    <w:rsid w:val="00B257F7"/>
    <w:rsid w:val="00B2675A"/>
    <w:rsid w:val="00B26BA5"/>
    <w:rsid w:val="00B26C7F"/>
    <w:rsid w:val="00B272AB"/>
    <w:rsid w:val="00B27CFA"/>
    <w:rsid w:val="00B30376"/>
    <w:rsid w:val="00B30C50"/>
    <w:rsid w:val="00B31254"/>
    <w:rsid w:val="00B31779"/>
    <w:rsid w:val="00B322E8"/>
    <w:rsid w:val="00B32C37"/>
    <w:rsid w:val="00B34403"/>
    <w:rsid w:val="00B35C1B"/>
    <w:rsid w:val="00B35CBB"/>
    <w:rsid w:val="00B3607D"/>
    <w:rsid w:val="00B36414"/>
    <w:rsid w:val="00B36AC9"/>
    <w:rsid w:val="00B36D41"/>
    <w:rsid w:val="00B371C1"/>
    <w:rsid w:val="00B375EB"/>
    <w:rsid w:val="00B37B06"/>
    <w:rsid w:val="00B401D1"/>
    <w:rsid w:val="00B42E66"/>
    <w:rsid w:val="00B441DA"/>
    <w:rsid w:val="00B4434F"/>
    <w:rsid w:val="00B4445A"/>
    <w:rsid w:val="00B44A8A"/>
    <w:rsid w:val="00B450CC"/>
    <w:rsid w:val="00B45615"/>
    <w:rsid w:val="00B45B0B"/>
    <w:rsid w:val="00B45EAF"/>
    <w:rsid w:val="00B46802"/>
    <w:rsid w:val="00B469D1"/>
    <w:rsid w:val="00B478FF"/>
    <w:rsid w:val="00B47A5E"/>
    <w:rsid w:val="00B50502"/>
    <w:rsid w:val="00B50628"/>
    <w:rsid w:val="00B50791"/>
    <w:rsid w:val="00B50DE4"/>
    <w:rsid w:val="00B51AE6"/>
    <w:rsid w:val="00B51C7B"/>
    <w:rsid w:val="00B526A7"/>
    <w:rsid w:val="00B52E36"/>
    <w:rsid w:val="00B53487"/>
    <w:rsid w:val="00B53A05"/>
    <w:rsid w:val="00B5422D"/>
    <w:rsid w:val="00B54400"/>
    <w:rsid w:val="00B552F4"/>
    <w:rsid w:val="00B55B97"/>
    <w:rsid w:val="00B56D76"/>
    <w:rsid w:val="00B56F82"/>
    <w:rsid w:val="00B575F2"/>
    <w:rsid w:val="00B57A23"/>
    <w:rsid w:val="00B57E8D"/>
    <w:rsid w:val="00B6021C"/>
    <w:rsid w:val="00B604FC"/>
    <w:rsid w:val="00B6071F"/>
    <w:rsid w:val="00B60B2C"/>
    <w:rsid w:val="00B60B7E"/>
    <w:rsid w:val="00B61417"/>
    <w:rsid w:val="00B62052"/>
    <w:rsid w:val="00B62393"/>
    <w:rsid w:val="00B6259E"/>
    <w:rsid w:val="00B6273D"/>
    <w:rsid w:val="00B627A8"/>
    <w:rsid w:val="00B6347A"/>
    <w:rsid w:val="00B63960"/>
    <w:rsid w:val="00B64454"/>
    <w:rsid w:val="00B647C1"/>
    <w:rsid w:val="00B6537A"/>
    <w:rsid w:val="00B65C7C"/>
    <w:rsid w:val="00B67102"/>
    <w:rsid w:val="00B67AF0"/>
    <w:rsid w:val="00B67EB6"/>
    <w:rsid w:val="00B7076A"/>
    <w:rsid w:val="00B71819"/>
    <w:rsid w:val="00B71F9B"/>
    <w:rsid w:val="00B729C4"/>
    <w:rsid w:val="00B734B7"/>
    <w:rsid w:val="00B737A1"/>
    <w:rsid w:val="00B738AD"/>
    <w:rsid w:val="00B73BB0"/>
    <w:rsid w:val="00B7497E"/>
    <w:rsid w:val="00B75039"/>
    <w:rsid w:val="00B75626"/>
    <w:rsid w:val="00B76414"/>
    <w:rsid w:val="00B76CFB"/>
    <w:rsid w:val="00B770F2"/>
    <w:rsid w:val="00B775E0"/>
    <w:rsid w:val="00B80ECA"/>
    <w:rsid w:val="00B82773"/>
    <w:rsid w:val="00B82B10"/>
    <w:rsid w:val="00B83101"/>
    <w:rsid w:val="00B833CF"/>
    <w:rsid w:val="00B83B54"/>
    <w:rsid w:val="00B84100"/>
    <w:rsid w:val="00B847D2"/>
    <w:rsid w:val="00B84C6E"/>
    <w:rsid w:val="00B85D0D"/>
    <w:rsid w:val="00B85D26"/>
    <w:rsid w:val="00B85D4A"/>
    <w:rsid w:val="00B875B0"/>
    <w:rsid w:val="00B878BD"/>
    <w:rsid w:val="00B87AEF"/>
    <w:rsid w:val="00B90B8B"/>
    <w:rsid w:val="00B90DB6"/>
    <w:rsid w:val="00B911A5"/>
    <w:rsid w:val="00B91522"/>
    <w:rsid w:val="00B9175F"/>
    <w:rsid w:val="00B91992"/>
    <w:rsid w:val="00B920E3"/>
    <w:rsid w:val="00B92ADC"/>
    <w:rsid w:val="00B92EEB"/>
    <w:rsid w:val="00B93184"/>
    <w:rsid w:val="00B9321A"/>
    <w:rsid w:val="00B93794"/>
    <w:rsid w:val="00B941E9"/>
    <w:rsid w:val="00B95433"/>
    <w:rsid w:val="00B9575B"/>
    <w:rsid w:val="00B96858"/>
    <w:rsid w:val="00B978C2"/>
    <w:rsid w:val="00B97923"/>
    <w:rsid w:val="00B97A12"/>
    <w:rsid w:val="00B97E1E"/>
    <w:rsid w:val="00BA00A7"/>
    <w:rsid w:val="00BA08DF"/>
    <w:rsid w:val="00BA0C87"/>
    <w:rsid w:val="00BA0DE4"/>
    <w:rsid w:val="00BA132E"/>
    <w:rsid w:val="00BA16D2"/>
    <w:rsid w:val="00BA1DA4"/>
    <w:rsid w:val="00BA1E72"/>
    <w:rsid w:val="00BA32A1"/>
    <w:rsid w:val="00BA3E41"/>
    <w:rsid w:val="00BA3F00"/>
    <w:rsid w:val="00BA4597"/>
    <w:rsid w:val="00BA50F4"/>
    <w:rsid w:val="00BA5873"/>
    <w:rsid w:val="00BA5C86"/>
    <w:rsid w:val="00BA65CB"/>
    <w:rsid w:val="00BA6609"/>
    <w:rsid w:val="00BA6B9D"/>
    <w:rsid w:val="00BA7225"/>
    <w:rsid w:val="00BA72D0"/>
    <w:rsid w:val="00BA7E9A"/>
    <w:rsid w:val="00BB08DF"/>
    <w:rsid w:val="00BB0AEB"/>
    <w:rsid w:val="00BB1A55"/>
    <w:rsid w:val="00BB22C2"/>
    <w:rsid w:val="00BB2A7D"/>
    <w:rsid w:val="00BB2BB7"/>
    <w:rsid w:val="00BB2EB5"/>
    <w:rsid w:val="00BB3285"/>
    <w:rsid w:val="00BB384E"/>
    <w:rsid w:val="00BB3F35"/>
    <w:rsid w:val="00BB42E5"/>
    <w:rsid w:val="00BB438E"/>
    <w:rsid w:val="00BB5335"/>
    <w:rsid w:val="00BB5996"/>
    <w:rsid w:val="00BB5CCD"/>
    <w:rsid w:val="00BB604A"/>
    <w:rsid w:val="00BB76F7"/>
    <w:rsid w:val="00BB7FD0"/>
    <w:rsid w:val="00BC08D5"/>
    <w:rsid w:val="00BC0ECB"/>
    <w:rsid w:val="00BC120D"/>
    <w:rsid w:val="00BC145C"/>
    <w:rsid w:val="00BC1795"/>
    <w:rsid w:val="00BC2239"/>
    <w:rsid w:val="00BC26E0"/>
    <w:rsid w:val="00BC2E00"/>
    <w:rsid w:val="00BC34B8"/>
    <w:rsid w:val="00BC4138"/>
    <w:rsid w:val="00BC4543"/>
    <w:rsid w:val="00BC4C96"/>
    <w:rsid w:val="00BC4EA2"/>
    <w:rsid w:val="00BC549D"/>
    <w:rsid w:val="00BC5C68"/>
    <w:rsid w:val="00BC6155"/>
    <w:rsid w:val="00BC6189"/>
    <w:rsid w:val="00BC6B7B"/>
    <w:rsid w:val="00BC7395"/>
    <w:rsid w:val="00BC7ECF"/>
    <w:rsid w:val="00BD0846"/>
    <w:rsid w:val="00BD0A74"/>
    <w:rsid w:val="00BD0BA3"/>
    <w:rsid w:val="00BD2E13"/>
    <w:rsid w:val="00BD2F5C"/>
    <w:rsid w:val="00BD4214"/>
    <w:rsid w:val="00BD4E43"/>
    <w:rsid w:val="00BD507B"/>
    <w:rsid w:val="00BD5ACD"/>
    <w:rsid w:val="00BD5D4E"/>
    <w:rsid w:val="00BD5FE3"/>
    <w:rsid w:val="00BD643C"/>
    <w:rsid w:val="00BD645C"/>
    <w:rsid w:val="00BD6560"/>
    <w:rsid w:val="00BD6BF9"/>
    <w:rsid w:val="00BD6EC8"/>
    <w:rsid w:val="00BE1427"/>
    <w:rsid w:val="00BE1824"/>
    <w:rsid w:val="00BE1930"/>
    <w:rsid w:val="00BE1B3B"/>
    <w:rsid w:val="00BE2ECB"/>
    <w:rsid w:val="00BE2FEE"/>
    <w:rsid w:val="00BE32AA"/>
    <w:rsid w:val="00BE3C8E"/>
    <w:rsid w:val="00BE3F93"/>
    <w:rsid w:val="00BE5355"/>
    <w:rsid w:val="00BE76A2"/>
    <w:rsid w:val="00BE771D"/>
    <w:rsid w:val="00BE78C2"/>
    <w:rsid w:val="00BE7AB7"/>
    <w:rsid w:val="00BF0B10"/>
    <w:rsid w:val="00BF1399"/>
    <w:rsid w:val="00BF1944"/>
    <w:rsid w:val="00BF2827"/>
    <w:rsid w:val="00BF3059"/>
    <w:rsid w:val="00BF309A"/>
    <w:rsid w:val="00BF42C5"/>
    <w:rsid w:val="00BF49D9"/>
    <w:rsid w:val="00BF4A4F"/>
    <w:rsid w:val="00BF4AB9"/>
    <w:rsid w:val="00BF4C8A"/>
    <w:rsid w:val="00BF4F4E"/>
    <w:rsid w:val="00BF4F76"/>
    <w:rsid w:val="00BF53DD"/>
    <w:rsid w:val="00BF5C41"/>
    <w:rsid w:val="00BF6370"/>
    <w:rsid w:val="00BF6842"/>
    <w:rsid w:val="00BF69A4"/>
    <w:rsid w:val="00BF6B3A"/>
    <w:rsid w:val="00BF6ED7"/>
    <w:rsid w:val="00BF6FDD"/>
    <w:rsid w:val="00BF7414"/>
    <w:rsid w:val="00C0042E"/>
    <w:rsid w:val="00C0252E"/>
    <w:rsid w:val="00C032CA"/>
    <w:rsid w:val="00C0336C"/>
    <w:rsid w:val="00C03581"/>
    <w:rsid w:val="00C0375F"/>
    <w:rsid w:val="00C0428D"/>
    <w:rsid w:val="00C042AF"/>
    <w:rsid w:val="00C0469E"/>
    <w:rsid w:val="00C046A9"/>
    <w:rsid w:val="00C04B7B"/>
    <w:rsid w:val="00C04C08"/>
    <w:rsid w:val="00C04D62"/>
    <w:rsid w:val="00C04EC8"/>
    <w:rsid w:val="00C05206"/>
    <w:rsid w:val="00C06011"/>
    <w:rsid w:val="00C067E4"/>
    <w:rsid w:val="00C0708A"/>
    <w:rsid w:val="00C078A1"/>
    <w:rsid w:val="00C07A83"/>
    <w:rsid w:val="00C07CE3"/>
    <w:rsid w:val="00C07CF8"/>
    <w:rsid w:val="00C10144"/>
    <w:rsid w:val="00C11C84"/>
    <w:rsid w:val="00C11C85"/>
    <w:rsid w:val="00C1297D"/>
    <w:rsid w:val="00C138B8"/>
    <w:rsid w:val="00C13C53"/>
    <w:rsid w:val="00C144AF"/>
    <w:rsid w:val="00C155CC"/>
    <w:rsid w:val="00C15D01"/>
    <w:rsid w:val="00C1617A"/>
    <w:rsid w:val="00C16D79"/>
    <w:rsid w:val="00C171D5"/>
    <w:rsid w:val="00C17AAE"/>
    <w:rsid w:val="00C17DE6"/>
    <w:rsid w:val="00C20968"/>
    <w:rsid w:val="00C21226"/>
    <w:rsid w:val="00C21929"/>
    <w:rsid w:val="00C219BE"/>
    <w:rsid w:val="00C21E83"/>
    <w:rsid w:val="00C21EB1"/>
    <w:rsid w:val="00C224AA"/>
    <w:rsid w:val="00C23BB1"/>
    <w:rsid w:val="00C24193"/>
    <w:rsid w:val="00C24B96"/>
    <w:rsid w:val="00C24F77"/>
    <w:rsid w:val="00C25081"/>
    <w:rsid w:val="00C25543"/>
    <w:rsid w:val="00C25608"/>
    <w:rsid w:val="00C25E6D"/>
    <w:rsid w:val="00C263A5"/>
    <w:rsid w:val="00C26799"/>
    <w:rsid w:val="00C271CC"/>
    <w:rsid w:val="00C27408"/>
    <w:rsid w:val="00C2770A"/>
    <w:rsid w:val="00C27C5F"/>
    <w:rsid w:val="00C31247"/>
    <w:rsid w:val="00C31B80"/>
    <w:rsid w:val="00C31C2B"/>
    <w:rsid w:val="00C32A1C"/>
    <w:rsid w:val="00C333D7"/>
    <w:rsid w:val="00C33AEE"/>
    <w:rsid w:val="00C33B27"/>
    <w:rsid w:val="00C34EB6"/>
    <w:rsid w:val="00C3500B"/>
    <w:rsid w:val="00C351E0"/>
    <w:rsid w:val="00C3642C"/>
    <w:rsid w:val="00C366D4"/>
    <w:rsid w:val="00C374AD"/>
    <w:rsid w:val="00C404CF"/>
    <w:rsid w:val="00C407A7"/>
    <w:rsid w:val="00C40A34"/>
    <w:rsid w:val="00C40FF2"/>
    <w:rsid w:val="00C41313"/>
    <w:rsid w:val="00C416B3"/>
    <w:rsid w:val="00C41D3D"/>
    <w:rsid w:val="00C41E3D"/>
    <w:rsid w:val="00C41E45"/>
    <w:rsid w:val="00C42A28"/>
    <w:rsid w:val="00C42BF4"/>
    <w:rsid w:val="00C44BA4"/>
    <w:rsid w:val="00C44FE4"/>
    <w:rsid w:val="00C45362"/>
    <w:rsid w:val="00C4557A"/>
    <w:rsid w:val="00C45EA1"/>
    <w:rsid w:val="00C462D5"/>
    <w:rsid w:val="00C4714F"/>
    <w:rsid w:val="00C471A3"/>
    <w:rsid w:val="00C47238"/>
    <w:rsid w:val="00C475F1"/>
    <w:rsid w:val="00C477FB"/>
    <w:rsid w:val="00C479BA"/>
    <w:rsid w:val="00C47EC9"/>
    <w:rsid w:val="00C5054F"/>
    <w:rsid w:val="00C50CA5"/>
    <w:rsid w:val="00C511E7"/>
    <w:rsid w:val="00C51775"/>
    <w:rsid w:val="00C519DD"/>
    <w:rsid w:val="00C51A30"/>
    <w:rsid w:val="00C51B45"/>
    <w:rsid w:val="00C51E4E"/>
    <w:rsid w:val="00C52761"/>
    <w:rsid w:val="00C527EB"/>
    <w:rsid w:val="00C52848"/>
    <w:rsid w:val="00C52B5C"/>
    <w:rsid w:val="00C54619"/>
    <w:rsid w:val="00C54A22"/>
    <w:rsid w:val="00C54C2A"/>
    <w:rsid w:val="00C55245"/>
    <w:rsid w:val="00C55415"/>
    <w:rsid w:val="00C55525"/>
    <w:rsid w:val="00C55F8F"/>
    <w:rsid w:val="00C571DE"/>
    <w:rsid w:val="00C5727A"/>
    <w:rsid w:val="00C5761B"/>
    <w:rsid w:val="00C57838"/>
    <w:rsid w:val="00C57B46"/>
    <w:rsid w:val="00C604A9"/>
    <w:rsid w:val="00C604B6"/>
    <w:rsid w:val="00C60D1B"/>
    <w:rsid w:val="00C61182"/>
    <w:rsid w:val="00C616F7"/>
    <w:rsid w:val="00C626D3"/>
    <w:rsid w:val="00C62AFB"/>
    <w:rsid w:val="00C62FB7"/>
    <w:rsid w:val="00C63064"/>
    <w:rsid w:val="00C6434A"/>
    <w:rsid w:val="00C643B2"/>
    <w:rsid w:val="00C64611"/>
    <w:rsid w:val="00C64A1C"/>
    <w:rsid w:val="00C65DE8"/>
    <w:rsid w:val="00C6682F"/>
    <w:rsid w:val="00C671A2"/>
    <w:rsid w:val="00C67378"/>
    <w:rsid w:val="00C67689"/>
    <w:rsid w:val="00C70AB2"/>
    <w:rsid w:val="00C70DC0"/>
    <w:rsid w:val="00C711C4"/>
    <w:rsid w:val="00C712A9"/>
    <w:rsid w:val="00C7145F"/>
    <w:rsid w:val="00C723BE"/>
    <w:rsid w:val="00C72B52"/>
    <w:rsid w:val="00C730CE"/>
    <w:rsid w:val="00C738CC"/>
    <w:rsid w:val="00C73CB4"/>
    <w:rsid w:val="00C74C00"/>
    <w:rsid w:val="00C76330"/>
    <w:rsid w:val="00C77858"/>
    <w:rsid w:val="00C77C1F"/>
    <w:rsid w:val="00C77D44"/>
    <w:rsid w:val="00C80EE6"/>
    <w:rsid w:val="00C810B5"/>
    <w:rsid w:val="00C81A0F"/>
    <w:rsid w:val="00C82F48"/>
    <w:rsid w:val="00C84B6F"/>
    <w:rsid w:val="00C84E0D"/>
    <w:rsid w:val="00C857EE"/>
    <w:rsid w:val="00C85921"/>
    <w:rsid w:val="00C8625D"/>
    <w:rsid w:val="00C8642D"/>
    <w:rsid w:val="00C87B4B"/>
    <w:rsid w:val="00C87E5C"/>
    <w:rsid w:val="00C90443"/>
    <w:rsid w:val="00C910D3"/>
    <w:rsid w:val="00C9117C"/>
    <w:rsid w:val="00C919B1"/>
    <w:rsid w:val="00C91B51"/>
    <w:rsid w:val="00C922DB"/>
    <w:rsid w:val="00C925F4"/>
    <w:rsid w:val="00C92648"/>
    <w:rsid w:val="00C92CA7"/>
    <w:rsid w:val="00C9338D"/>
    <w:rsid w:val="00C935F5"/>
    <w:rsid w:val="00C93BC3"/>
    <w:rsid w:val="00C9410F"/>
    <w:rsid w:val="00C94344"/>
    <w:rsid w:val="00C9574D"/>
    <w:rsid w:val="00C9639C"/>
    <w:rsid w:val="00C96DF5"/>
    <w:rsid w:val="00C9700E"/>
    <w:rsid w:val="00C9711F"/>
    <w:rsid w:val="00C977E3"/>
    <w:rsid w:val="00C97BC9"/>
    <w:rsid w:val="00CA0CB4"/>
    <w:rsid w:val="00CA0CC4"/>
    <w:rsid w:val="00CA24FD"/>
    <w:rsid w:val="00CA26B1"/>
    <w:rsid w:val="00CA2F3D"/>
    <w:rsid w:val="00CA3445"/>
    <w:rsid w:val="00CA35C3"/>
    <w:rsid w:val="00CA48D0"/>
    <w:rsid w:val="00CA4A39"/>
    <w:rsid w:val="00CA4CC3"/>
    <w:rsid w:val="00CA5708"/>
    <w:rsid w:val="00CA6746"/>
    <w:rsid w:val="00CA703E"/>
    <w:rsid w:val="00CA70CE"/>
    <w:rsid w:val="00CA75A6"/>
    <w:rsid w:val="00CA7813"/>
    <w:rsid w:val="00CB0013"/>
    <w:rsid w:val="00CB0104"/>
    <w:rsid w:val="00CB05C0"/>
    <w:rsid w:val="00CB06DD"/>
    <w:rsid w:val="00CB0753"/>
    <w:rsid w:val="00CB0B34"/>
    <w:rsid w:val="00CB0D5A"/>
    <w:rsid w:val="00CB0D9A"/>
    <w:rsid w:val="00CB1118"/>
    <w:rsid w:val="00CB2670"/>
    <w:rsid w:val="00CB2C4C"/>
    <w:rsid w:val="00CB2FBF"/>
    <w:rsid w:val="00CB37C9"/>
    <w:rsid w:val="00CB3F87"/>
    <w:rsid w:val="00CB3FCD"/>
    <w:rsid w:val="00CB561E"/>
    <w:rsid w:val="00CB5817"/>
    <w:rsid w:val="00CB5CE9"/>
    <w:rsid w:val="00CB5F70"/>
    <w:rsid w:val="00CB61E8"/>
    <w:rsid w:val="00CB6815"/>
    <w:rsid w:val="00CB6CE4"/>
    <w:rsid w:val="00CB6EE0"/>
    <w:rsid w:val="00CB6FF2"/>
    <w:rsid w:val="00CB7558"/>
    <w:rsid w:val="00CB77D0"/>
    <w:rsid w:val="00CB796D"/>
    <w:rsid w:val="00CC0D7C"/>
    <w:rsid w:val="00CC1193"/>
    <w:rsid w:val="00CC1323"/>
    <w:rsid w:val="00CC1513"/>
    <w:rsid w:val="00CC1552"/>
    <w:rsid w:val="00CC17E4"/>
    <w:rsid w:val="00CC1ABE"/>
    <w:rsid w:val="00CC3088"/>
    <w:rsid w:val="00CC323A"/>
    <w:rsid w:val="00CC3742"/>
    <w:rsid w:val="00CC39EC"/>
    <w:rsid w:val="00CC4B6E"/>
    <w:rsid w:val="00CC4CC9"/>
    <w:rsid w:val="00CC4FEE"/>
    <w:rsid w:val="00CC5913"/>
    <w:rsid w:val="00CC6ADF"/>
    <w:rsid w:val="00CC6FDB"/>
    <w:rsid w:val="00CC7045"/>
    <w:rsid w:val="00CC75F4"/>
    <w:rsid w:val="00CC7601"/>
    <w:rsid w:val="00CC789D"/>
    <w:rsid w:val="00CC7933"/>
    <w:rsid w:val="00CC7B9B"/>
    <w:rsid w:val="00CD0727"/>
    <w:rsid w:val="00CD072F"/>
    <w:rsid w:val="00CD08AB"/>
    <w:rsid w:val="00CD0E2F"/>
    <w:rsid w:val="00CD284B"/>
    <w:rsid w:val="00CD2D2C"/>
    <w:rsid w:val="00CD37E7"/>
    <w:rsid w:val="00CD482F"/>
    <w:rsid w:val="00CD4B36"/>
    <w:rsid w:val="00CD5BD0"/>
    <w:rsid w:val="00CD5C67"/>
    <w:rsid w:val="00CD6157"/>
    <w:rsid w:val="00CD616C"/>
    <w:rsid w:val="00CD64C3"/>
    <w:rsid w:val="00CD6599"/>
    <w:rsid w:val="00CD666E"/>
    <w:rsid w:val="00CD73B7"/>
    <w:rsid w:val="00CD7A0A"/>
    <w:rsid w:val="00CE07A2"/>
    <w:rsid w:val="00CE08D7"/>
    <w:rsid w:val="00CE0A51"/>
    <w:rsid w:val="00CE0B24"/>
    <w:rsid w:val="00CE281F"/>
    <w:rsid w:val="00CE297B"/>
    <w:rsid w:val="00CE2A64"/>
    <w:rsid w:val="00CE2DDE"/>
    <w:rsid w:val="00CE41D4"/>
    <w:rsid w:val="00CE4384"/>
    <w:rsid w:val="00CE4EAB"/>
    <w:rsid w:val="00CE5F61"/>
    <w:rsid w:val="00CE6166"/>
    <w:rsid w:val="00CE618E"/>
    <w:rsid w:val="00CE6440"/>
    <w:rsid w:val="00CE6505"/>
    <w:rsid w:val="00CE68ED"/>
    <w:rsid w:val="00CE6B83"/>
    <w:rsid w:val="00CE723E"/>
    <w:rsid w:val="00CE7279"/>
    <w:rsid w:val="00CE785A"/>
    <w:rsid w:val="00CE7AC4"/>
    <w:rsid w:val="00CF0ACA"/>
    <w:rsid w:val="00CF14B8"/>
    <w:rsid w:val="00CF1C27"/>
    <w:rsid w:val="00CF20D7"/>
    <w:rsid w:val="00CF252A"/>
    <w:rsid w:val="00CF2537"/>
    <w:rsid w:val="00CF2EB4"/>
    <w:rsid w:val="00CF38F2"/>
    <w:rsid w:val="00CF40CB"/>
    <w:rsid w:val="00CF4BB7"/>
    <w:rsid w:val="00CF53D6"/>
    <w:rsid w:val="00CF562B"/>
    <w:rsid w:val="00CF59AB"/>
    <w:rsid w:val="00CF5E66"/>
    <w:rsid w:val="00CF5EC5"/>
    <w:rsid w:val="00CF61C6"/>
    <w:rsid w:val="00CF7E3B"/>
    <w:rsid w:val="00CF7F87"/>
    <w:rsid w:val="00D00068"/>
    <w:rsid w:val="00D00C03"/>
    <w:rsid w:val="00D00C26"/>
    <w:rsid w:val="00D011D7"/>
    <w:rsid w:val="00D01228"/>
    <w:rsid w:val="00D012D1"/>
    <w:rsid w:val="00D01F9D"/>
    <w:rsid w:val="00D01FB3"/>
    <w:rsid w:val="00D0204A"/>
    <w:rsid w:val="00D0231F"/>
    <w:rsid w:val="00D02A69"/>
    <w:rsid w:val="00D02CDF"/>
    <w:rsid w:val="00D037A0"/>
    <w:rsid w:val="00D03AE4"/>
    <w:rsid w:val="00D03B83"/>
    <w:rsid w:val="00D043C8"/>
    <w:rsid w:val="00D04586"/>
    <w:rsid w:val="00D048A5"/>
    <w:rsid w:val="00D04A0B"/>
    <w:rsid w:val="00D04FBD"/>
    <w:rsid w:val="00D069CC"/>
    <w:rsid w:val="00D07F8E"/>
    <w:rsid w:val="00D10EEF"/>
    <w:rsid w:val="00D113F7"/>
    <w:rsid w:val="00D1150A"/>
    <w:rsid w:val="00D11620"/>
    <w:rsid w:val="00D1228B"/>
    <w:rsid w:val="00D12FD4"/>
    <w:rsid w:val="00D13334"/>
    <w:rsid w:val="00D146B6"/>
    <w:rsid w:val="00D15A0D"/>
    <w:rsid w:val="00D163EA"/>
    <w:rsid w:val="00D16808"/>
    <w:rsid w:val="00D16F96"/>
    <w:rsid w:val="00D1732C"/>
    <w:rsid w:val="00D20CD3"/>
    <w:rsid w:val="00D216A7"/>
    <w:rsid w:val="00D217FD"/>
    <w:rsid w:val="00D2182C"/>
    <w:rsid w:val="00D2208C"/>
    <w:rsid w:val="00D222A0"/>
    <w:rsid w:val="00D22427"/>
    <w:rsid w:val="00D2257C"/>
    <w:rsid w:val="00D23099"/>
    <w:rsid w:val="00D23797"/>
    <w:rsid w:val="00D23887"/>
    <w:rsid w:val="00D23A89"/>
    <w:rsid w:val="00D2423F"/>
    <w:rsid w:val="00D242EC"/>
    <w:rsid w:val="00D2483C"/>
    <w:rsid w:val="00D24C7C"/>
    <w:rsid w:val="00D24DEB"/>
    <w:rsid w:val="00D254E7"/>
    <w:rsid w:val="00D26BC0"/>
    <w:rsid w:val="00D30565"/>
    <w:rsid w:val="00D3076F"/>
    <w:rsid w:val="00D3078B"/>
    <w:rsid w:val="00D30E73"/>
    <w:rsid w:val="00D3109D"/>
    <w:rsid w:val="00D31173"/>
    <w:rsid w:val="00D3153E"/>
    <w:rsid w:val="00D32721"/>
    <w:rsid w:val="00D3296C"/>
    <w:rsid w:val="00D329AB"/>
    <w:rsid w:val="00D337C1"/>
    <w:rsid w:val="00D340EE"/>
    <w:rsid w:val="00D358C0"/>
    <w:rsid w:val="00D36037"/>
    <w:rsid w:val="00D36108"/>
    <w:rsid w:val="00D367BB"/>
    <w:rsid w:val="00D36D00"/>
    <w:rsid w:val="00D36D23"/>
    <w:rsid w:val="00D36D6A"/>
    <w:rsid w:val="00D36DFA"/>
    <w:rsid w:val="00D36F23"/>
    <w:rsid w:val="00D400B5"/>
    <w:rsid w:val="00D40C15"/>
    <w:rsid w:val="00D40DA3"/>
    <w:rsid w:val="00D41177"/>
    <w:rsid w:val="00D4222A"/>
    <w:rsid w:val="00D43AA1"/>
    <w:rsid w:val="00D44A7B"/>
    <w:rsid w:val="00D44E94"/>
    <w:rsid w:val="00D44F2A"/>
    <w:rsid w:val="00D45439"/>
    <w:rsid w:val="00D45EC8"/>
    <w:rsid w:val="00D46658"/>
    <w:rsid w:val="00D46C4E"/>
    <w:rsid w:val="00D4747E"/>
    <w:rsid w:val="00D502F7"/>
    <w:rsid w:val="00D50BBC"/>
    <w:rsid w:val="00D50EA3"/>
    <w:rsid w:val="00D512DC"/>
    <w:rsid w:val="00D51448"/>
    <w:rsid w:val="00D52958"/>
    <w:rsid w:val="00D5311D"/>
    <w:rsid w:val="00D543A0"/>
    <w:rsid w:val="00D5449D"/>
    <w:rsid w:val="00D54970"/>
    <w:rsid w:val="00D55692"/>
    <w:rsid w:val="00D559BA"/>
    <w:rsid w:val="00D573C1"/>
    <w:rsid w:val="00D57485"/>
    <w:rsid w:val="00D60851"/>
    <w:rsid w:val="00D613C4"/>
    <w:rsid w:val="00D613F1"/>
    <w:rsid w:val="00D61AE5"/>
    <w:rsid w:val="00D61AFD"/>
    <w:rsid w:val="00D61F15"/>
    <w:rsid w:val="00D6219D"/>
    <w:rsid w:val="00D62AC3"/>
    <w:rsid w:val="00D635F9"/>
    <w:rsid w:val="00D64758"/>
    <w:rsid w:val="00D64E83"/>
    <w:rsid w:val="00D650A9"/>
    <w:rsid w:val="00D65944"/>
    <w:rsid w:val="00D65A45"/>
    <w:rsid w:val="00D66907"/>
    <w:rsid w:val="00D67373"/>
    <w:rsid w:val="00D67B31"/>
    <w:rsid w:val="00D67FD8"/>
    <w:rsid w:val="00D70016"/>
    <w:rsid w:val="00D70183"/>
    <w:rsid w:val="00D708A5"/>
    <w:rsid w:val="00D70B20"/>
    <w:rsid w:val="00D71264"/>
    <w:rsid w:val="00D71EBB"/>
    <w:rsid w:val="00D7208C"/>
    <w:rsid w:val="00D7212D"/>
    <w:rsid w:val="00D7220B"/>
    <w:rsid w:val="00D73DAA"/>
    <w:rsid w:val="00D73E3A"/>
    <w:rsid w:val="00D7406F"/>
    <w:rsid w:val="00D751F4"/>
    <w:rsid w:val="00D75495"/>
    <w:rsid w:val="00D7605E"/>
    <w:rsid w:val="00D76336"/>
    <w:rsid w:val="00D76844"/>
    <w:rsid w:val="00D768F6"/>
    <w:rsid w:val="00D77AD1"/>
    <w:rsid w:val="00D801C5"/>
    <w:rsid w:val="00D8033A"/>
    <w:rsid w:val="00D81062"/>
    <w:rsid w:val="00D81789"/>
    <w:rsid w:val="00D82F75"/>
    <w:rsid w:val="00D82FD2"/>
    <w:rsid w:val="00D83A9F"/>
    <w:rsid w:val="00D8460E"/>
    <w:rsid w:val="00D85436"/>
    <w:rsid w:val="00D859C4"/>
    <w:rsid w:val="00D85CCC"/>
    <w:rsid w:val="00D86F9D"/>
    <w:rsid w:val="00D872AB"/>
    <w:rsid w:val="00D873CE"/>
    <w:rsid w:val="00D879AF"/>
    <w:rsid w:val="00D87A43"/>
    <w:rsid w:val="00D87CF3"/>
    <w:rsid w:val="00D9016C"/>
    <w:rsid w:val="00D90191"/>
    <w:rsid w:val="00D90F2C"/>
    <w:rsid w:val="00D91751"/>
    <w:rsid w:val="00D93312"/>
    <w:rsid w:val="00D934AA"/>
    <w:rsid w:val="00D93900"/>
    <w:rsid w:val="00D93D34"/>
    <w:rsid w:val="00D94233"/>
    <w:rsid w:val="00D9434D"/>
    <w:rsid w:val="00D94E84"/>
    <w:rsid w:val="00D958F0"/>
    <w:rsid w:val="00D9667C"/>
    <w:rsid w:val="00D96869"/>
    <w:rsid w:val="00D971AB"/>
    <w:rsid w:val="00D978A8"/>
    <w:rsid w:val="00D97D89"/>
    <w:rsid w:val="00DA0F2E"/>
    <w:rsid w:val="00DA14B2"/>
    <w:rsid w:val="00DA1CFA"/>
    <w:rsid w:val="00DA1D54"/>
    <w:rsid w:val="00DA1D94"/>
    <w:rsid w:val="00DA1E72"/>
    <w:rsid w:val="00DA22D5"/>
    <w:rsid w:val="00DA2481"/>
    <w:rsid w:val="00DA2E81"/>
    <w:rsid w:val="00DA33E5"/>
    <w:rsid w:val="00DA36F5"/>
    <w:rsid w:val="00DA3B9C"/>
    <w:rsid w:val="00DA408F"/>
    <w:rsid w:val="00DA4C15"/>
    <w:rsid w:val="00DA4FCB"/>
    <w:rsid w:val="00DA5ED4"/>
    <w:rsid w:val="00DA76E6"/>
    <w:rsid w:val="00DB064F"/>
    <w:rsid w:val="00DB0944"/>
    <w:rsid w:val="00DB0A48"/>
    <w:rsid w:val="00DB1AF6"/>
    <w:rsid w:val="00DB26D2"/>
    <w:rsid w:val="00DB3738"/>
    <w:rsid w:val="00DB39F0"/>
    <w:rsid w:val="00DB3F48"/>
    <w:rsid w:val="00DB53CB"/>
    <w:rsid w:val="00DB5C93"/>
    <w:rsid w:val="00DB685E"/>
    <w:rsid w:val="00DB68B2"/>
    <w:rsid w:val="00DB711A"/>
    <w:rsid w:val="00DB7736"/>
    <w:rsid w:val="00DB77A1"/>
    <w:rsid w:val="00DC09FD"/>
    <w:rsid w:val="00DC0FF6"/>
    <w:rsid w:val="00DC1E73"/>
    <w:rsid w:val="00DC2152"/>
    <w:rsid w:val="00DC2206"/>
    <w:rsid w:val="00DC2255"/>
    <w:rsid w:val="00DC2998"/>
    <w:rsid w:val="00DC2D18"/>
    <w:rsid w:val="00DC30FF"/>
    <w:rsid w:val="00DC34E2"/>
    <w:rsid w:val="00DC3BDF"/>
    <w:rsid w:val="00DC3D2F"/>
    <w:rsid w:val="00DC42CA"/>
    <w:rsid w:val="00DC47A3"/>
    <w:rsid w:val="00DC4B01"/>
    <w:rsid w:val="00DC4B1D"/>
    <w:rsid w:val="00DC5721"/>
    <w:rsid w:val="00DC5766"/>
    <w:rsid w:val="00DC62FC"/>
    <w:rsid w:val="00DC7A0C"/>
    <w:rsid w:val="00DC7C4F"/>
    <w:rsid w:val="00DD00B5"/>
    <w:rsid w:val="00DD05EA"/>
    <w:rsid w:val="00DD066A"/>
    <w:rsid w:val="00DD0CD3"/>
    <w:rsid w:val="00DD0D62"/>
    <w:rsid w:val="00DD104B"/>
    <w:rsid w:val="00DD13E2"/>
    <w:rsid w:val="00DD232C"/>
    <w:rsid w:val="00DD28A8"/>
    <w:rsid w:val="00DD3C6C"/>
    <w:rsid w:val="00DD3CA6"/>
    <w:rsid w:val="00DD41B8"/>
    <w:rsid w:val="00DD4208"/>
    <w:rsid w:val="00DD4AB5"/>
    <w:rsid w:val="00DD4C26"/>
    <w:rsid w:val="00DD5341"/>
    <w:rsid w:val="00DD5713"/>
    <w:rsid w:val="00DD7178"/>
    <w:rsid w:val="00DD74E9"/>
    <w:rsid w:val="00DD7704"/>
    <w:rsid w:val="00DD7941"/>
    <w:rsid w:val="00DE156A"/>
    <w:rsid w:val="00DE29EB"/>
    <w:rsid w:val="00DE2DC0"/>
    <w:rsid w:val="00DE3106"/>
    <w:rsid w:val="00DE3669"/>
    <w:rsid w:val="00DE57CC"/>
    <w:rsid w:val="00DE57F3"/>
    <w:rsid w:val="00DE629A"/>
    <w:rsid w:val="00DE6575"/>
    <w:rsid w:val="00DE6D28"/>
    <w:rsid w:val="00DE6DBA"/>
    <w:rsid w:val="00DE725C"/>
    <w:rsid w:val="00DF054A"/>
    <w:rsid w:val="00DF0648"/>
    <w:rsid w:val="00DF0938"/>
    <w:rsid w:val="00DF12C8"/>
    <w:rsid w:val="00DF17CB"/>
    <w:rsid w:val="00DF1CF9"/>
    <w:rsid w:val="00DF2541"/>
    <w:rsid w:val="00DF28A3"/>
    <w:rsid w:val="00DF2990"/>
    <w:rsid w:val="00DF2B13"/>
    <w:rsid w:val="00DF2EAF"/>
    <w:rsid w:val="00DF36E7"/>
    <w:rsid w:val="00DF3E31"/>
    <w:rsid w:val="00DF4185"/>
    <w:rsid w:val="00DF4CCF"/>
    <w:rsid w:val="00DF4F49"/>
    <w:rsid w:val="00DF58BF"/>
    <w:rsid w:val="00DF5A1F"/>
    <w:rsid w:val="00DF5EA7"/>
    <w:rsid w:val="00DF6019"/>
    <w:rsid w:val="00DF612B"/>
    <w:rsid w:val="00DF6B1E"/>
    <w:rsid w:val="00DF7109"/>
    <w:rsid w:val="00DF7ED0"/>
    <w:rsid w:val="00E0027D"/>
    <w:rsid w:val="00E00811"/>
    <w:rsid w:val="00E00FAD"/>
    <w:rsid w:val="00E0105F"/>
    <w:rsid w:val="00E0173C"/>
    <w:rsid w:val="00E01F46"/>
    <w:rsid w:val="00E0254D"/>
    <w:rsid w:val="00E035C0"/>
    <w:rsid w:val="00E03DA6"/>
    <w:rsid w:val="00E03E13"/>
    <w:rsid w:val="00E04667"/>
    <w:rsid w:val="00E04917"/>
    <w:rsid w:val="00E04F48"/>
    <w:rsid w:val="00E0508A"/>
    <w:rsid w:val="00E05C91"/>
    <w:rsid w:val="00E0630E"/>
    <w:rsid w:val="00E06D1F"/>
    <w:rsid w:val="00E073A5"/>
    <w:rsid w:val="00E0755D"/>
    <w:rsid w:val="00E075C6"/>
    <w:rsid w:val="00E10140"/>
    <w:rsid w:val="00E1071E"/>
    <w:rsid w:val="00E1111E"/>
    <w:rsid w:val="00E1137A"/>
    <w:rsid w:val="00E11789"/>
    <w:rsid w:val="00E11B46"/>
    <w:rsid w:val="00E12A13"/>
    <w:rsid w:val="00E12C17"/>
    <w:rsid w:val="00E13474"/>
    <w:rsid w:val="00E13CE8"/>
    <w:rsid w:val="00E14A07"/>
    <w:rsid w:val="00E1527C"/>
    <w:rsid w:val="00E1532B"/>
    <w:rsid w:val="00E1541B"/>
    <w:rsid w:val="00E162EC"/>
    <w:rsid w:val="00E168A6"/>
    <w:rsid w:val="00E171B3"/>
    <w:rsid w:val="00E2061E"/>
    <w:rsid w:val="00E20FC8"/>
    <w:rsid w:val="00E21530"/>
    <w:rsid w:val="00E21650"/>
    <w:rsid w:val="00E21AB5"/>
    <w:rsid w:val="00E21E3C"/>
    <w:rsid w:val="00E2207E"/>
    <w:rsid w:val="00E2318A"/>
    <w:rsid w:val="00E23468"/>
    <w:rsid w:val="00E2356A"/>
    <w:rsid w:val="00E2366B"/>
    <w:rsid w:val="00E23C5B"/>
    <w:rsid w:val="00E2426C"/>
    <w:rsid w:val="00E24B40"/>
    <w:rsid w:val="00E24D80"/>
    <w:rsid w:val="00E2505D"/>
    <w:rsid w:val="00E25C94"/>
    <w:rsid w:val="00E25CD7"/>
    <w:rsid w:val="00E26033"/>
    <w:rsid w:val="00E2644C"/>
    <w:rsid w:val="00E27874"/>
    <w:rsid w:val="00E309C4"/>
    <w:rsid w:val="00E30C33"/>
    <w:rsid w:val="00E30E2D"/>
    <w:rsid w:val="00E31B0F"/>
    <w:rsid w:val="00E32CA2"/>
    <w:rsid w:val="00E32F2C"/>
    <w:rsid w:val="00E33252"/>
    <w:rsid w:val="00E33760"/>
    <w:rsid w:val="00E34450"/>
    <w:rsid w:val="00E3551C"/>
    <w:rsid w:val="00E35746"/>
    <w:rsid w:val="00E35D16"/>
    <w:rsid w:val="00E35DEB"/>
    <w:rsid w:val="00E3721E"/>
    <w:rsid w:val="00E37412"/>
    <w:rsid w:val="00E40501"/>
    <w:rsid w:val="00E40810"/>
    <w:rsid w:val="00E4135B"/>
    <w:rsid w:val="00E413BA"/>
    <w:rsid w:val="00E41E03"/>
    <w:rsid w:val="00E42282"/>
    <w:rsid w:val="00E42774"/>
    <w:rsid w:val="00E42B2A"/>
    <w:rsid w:val="00E42C28"/>
    <w:rsid w:val="00E4309B"/>
    <w:rsid w:val="00E436B4"/>
    <w:rsid w:val="00E43E2F"/>
    <w:rsid w:val="00E4415A"/>
    <w:rsid w:val="00E44390"/>
    <w:rsid w:val="00E452E8"/>
    <w:rsid w:val="00E4570F"/>
    <w:rsid w:val="00E465B4"/>
    <w:rsid w:val="00E468ED"/>
    <w:rsid w:val="00E47124"/>
    <w:rsid w:val="00E4728F"/>
    <w:rsid w:val="00E47351"/>
    <w:rsid w:val="00E473B0"/>
    <w:rsid w:val="00E47C55"/>
    <w:rsid w:val="00E504B6"/>
    <w:rsid w:val="00E504BD"/>
    <w:rsid w:val="00E50960"/>
    <w:rsid w:val="00E50B93"/>
    <w:rsid w:val="00E50CB2"/>
    <w:rsid w:val="00E50F9E"/>
    <w:rsid w:val="00E51647"/>
    <w:rsid w:val="00E52013"/>
    <w:rsid w:val="00E52081"/>
    <w:rsid w:val="00E52AEB"/>
    <w:rsid w:val="00E52CFA"/>
    <w:rsid w:val="00E52F2E"/>
    <w:rsid w:val="00E532CD"/>
    <w:rsid w:val="00E53425"/>
    <w:rsid w:val="00E53AFA"/>
    <w:rsid w:val="00E53E91"/>
    <w:rsid w:val="00E53F37"/>
    <w:rsid w:val="00E543E4"/>
    <w:rsid w:val="00E548DE"/>
    <w:rsid w:val="00E54FBF"/>
    <w:rsid w:val="00E55445"/>
    <w:rsid w:val="00E554A5"/>
    <w:rsid w:val="00E55A52"/>
    <w:rsid w:val="00E56871"/>
    <w:rsid w:val="00E5704C"/>
    <w:rsid w:val="00E5746A"/>
    <w:rsid w:val="00E57504"/>
    <w:rsid w:val="00E5796B"/>
    <w:rsid w:val="00E57E7B"/>
    <w:rsid w:val="00E60188"/>
    <w:rsid w:val="00E60ECA"/>
    <w:rsid w:val="00E60F71"/>
    <w:rsid w:val="00E618CA"/>
    <w:rsid w:val="00E62EDD"/>
    <w:rsid w:val="00E646E6"/>
    <w:rsid w:val="00E658D0"/>
    <w:rsid w:val="00E65A44"/>
    <w:rsid w:val="00E65B0A"/>
    <w:rsid w:val="00E65F27"/>
    <w:rsid w:val="00E665A9"/>
    <w:rsid w:val="00E66B4F"/>
    <w:rsid w:val="00E6700E"/>
    <w:rsid w:val="00E67F57"/>
    <w:rsid w:val="00E709A2"/>
    <w:rsid w:val="00E70E73"/>
    <w:rsid w:val="00E71F24"/>
    <w:rsid w:val="00E71FC9"/>
    <w:rsid w:val="00E72AA5"/>
    <w:rsid w:val="00E7301E"/>
    <w:rsid w:val="00E73319"/>
    <w:rsid w:val="00E73991"/>
    <w:rsid w:val="00E73CC4"/>
    <w:rsid w:val="00E745F5"/>
    <w:rsid w:val="00E74E00"/>
    <w:rsid w:val="00E74EEF"/>
    <w:rsid w:val="00E752FE"/>
    <w:rsid w:val="00E75485"/>
    <w:rsid w:val="00E75641"/>
    <w:rsid w:val="00E77178"/>
    <w:rsid w:val="00E77531"/>
    <w:rsid w:val="00E77624"/>
    <w:rsid w:val="00E80284"/>
    <w:rsid w:val="00E81944"/>
    <w:rsid w:val="00E826AD"/>
    <w:rsid w:val="00E82AC7"/>
    <w:rsid w:val="00E82F2E"/>
    <w:rsid w:val="00E834E1"/>
    <w:rsid w:val="00E83A78"/>
    <w:rsid w:val="00E8463B"/>
    <w:rsid w:val="00E85B10"/>
    <w:rsid w:val="00E86343"/>
    <w:rsid w:val="00E879F1"/>
    <w:rsid w:val="00E87C50"/>
    <w:rsid w:val="00E87D85"/>
    <w:rsid w:val="00E908AF"/>
    <w:rsid w:val="00E910FC"/>
    <w:rsid w:val="00E91521"/>
    <w:rsid w:val="00E9172A"/>
    <w:rsid w:val="00E918E0"/>
    <w:rsid w:val="00E91B06"/>
    <w:rsid w:val="00E91FA4"/>
    <w:rsid w:val="00E920BB"/>
    <w:rsid w:val="00E922A6"/>
    <w:rsid w:val="00E924B8"/>
    <w:rsid w:val="00E9291E"/>
    <w:rsid w:val="00E93975"/>
    <w:rsid w:val="00E9411C"/>
    <w:rsid w:val="00E941E9"/>
    <w:rsid w:val="00E94877"/>
    <w:rsid w:val="00E94A39"/>
    <w:rsid w:val="00E959BF"/>
    <w:rsid w:val="00E959F8"/>
    <w:rsid w:val="00E97561"/>
    <w:rsid w:val="00E975D3"/>
    <w:rsid w:val="00E97957"/>
    <w:rsid w:val="00EA0D43"/>
    <w:rsid w:val="00EA0E6C"/>
    <w:rsid w:val="00EA1301"/>
    <w:rsid w:val="00EA1551"/>
    <w:rsid w:val="00EA1766"/>
    <w:rsid w:val="00EA19F5"/>
    <w:rsid w:val="00EA26B7"/>
    <w:rsid w:val="00EA2A97"/>
    <w:rsid w:val="00EA2B5A"/>
    <w:rsid w:val="00EA2EC5"/>
    <w:rsid w:val="00EA3C28"/>
    <w:rsid w:val="00EA3D0F"/>
    <w:rsid w:val="00EA4451"/>
    <w:rsid w:val="00EA45C5"/>
    <w:rsid w:val="00EA4710"/>
    <w:rsid w:val="00EA4B29"/>
    <w:rsid w:val="00EA59CC"/>
    <w:rsid w:val="00EA5F83"/>
    <w:rsid w:val="00EA60A3"/>
    <w:rsid w:val="00EA6498"/>
    <w:rsid w:val="00EA6AC4"/>
    <w:rsid w:val="00EA71B0"/>
    <w:rsid w:val="00EA755A"/>
    <w:rsid w:val="00EA78F3"/>
    <w:rsid w:val="00EA7D27"/>
    <w:rsid w:val="00EA7FA0"/>
    <w:rsid w:val="00EB03F9"/>
    <w:rsid w:val="00EB04DA"/>
    <w:rsid w:val="00EB1676"/>
    <w:rsid w:val="00EB1A2E"/>
    <w:rsid w:val="00EB25EB"/>
    <w:rsid w:val="00EB2933"/>
    <w:rsid w:val="00EB2B7D"/>
    <w:rsid w:val="00EB41EE"/>
    <w:rsid w:val="00EB458A"/>
    <w:rsid w:val="00EB50E9"/>
    <w:rsid w:val="00EB52AD"/>
    <w:rsid w:val="00EB5327"/>
    <w:rsid w:val="00EB6707"/>
    <w:rsid w:val="00EB7BB5"/>
    <w:rsid w:val="00EC04D4"/>
    <w:rsid w:val="00EC0646"/>
    <w:rsid w:val="00EC0FE8"/>
    <w:rsid w:val="00EC1616"/>
    <w:rsid w:val="00EC34FF"/>
    <w:rsid w:val="00EC3653"/>
    <w:rsid w:val="00EC3F37"/>
    <w:rsid w:val="00EC457A"/>
    <w:rsid w:val="00EC48FC"/>
    <w:rsid w:val="00EC5144"/>
    <w:rsid w:val="00EC5866"/>
    <w:rsid w:val="00EC63C1"/>
    <w:rsid w:val="00EC643A"/>
    <w:rsid w:val="00EC65B1"/>
    <w:rsid w:val="00EC683E"/>
    <w:rsid w:val="00EC6FFF"/>
    <w:rsid w:val="00EC731D"/>
    <w:rsid w:val="00EC7426"/>
    <w:rsid w:val="00EC7EC6"/>
    <w:rsid w:val="00ED1638"/>
    <w:rsid w:val="00ED272B"/>
    <w:rsid w:val="00ED2BBC"/>
    <w:rsid w:val="00ED34A0"/>
    <w:rsid w:val="00ED3A54"/>
    <w:rsid w:val="00ED42E2"/>
    <w:rsid w:val="00ED4452"/>
    <w:rsid w:val="00ED5651"/>
    <w:rsid w:val="00ED599B"/>
    <w:rsid w:val="00ED5DEF"/>
    <w:rsid w:val="00ED6519"/>
    <w:rsid w:val="00ED68BE"/>
    <w:rsid w:val="00ED6E05"/>
    <w:rsid w:val="00ED763E"/>
    <w:rsid w:val="00ED76BC"/>
    <w:rsid w:val="00ED79B9"/>
    <w:rsid w:val="00ED7C89"/>
    <w:rsid w:val="00EE108E"/>
    <w:rsid w:val="00EE109E"/>
    <w:rsid w:val="00EE10B3"/>
    <w:rsid w:val="00EE299C"/>
    <w:rsid w:val="00EE3B5F"/>
    <w:rsid w:val="00EE3E87"/>
    <w:rsid w:val="00EE42AA"/>
    <w:rsid w:val="00EE4806"/>
    <w:rsid w:val="00EE4A2D"/>
    <w:rsid w:val="00EE4A6C"/>
    <w:rsid w:val="00EE5703"/>
    <w:rsid w:val="00EE5A3C"/>
    <w:rsid w:val="00EE7B42"/>
    <w:rsid w:val="00EE7F58"/>
    <w:rsid w:val="00EF03C9"/>
    <w:rsid w:val="00EF0731"/>
    <w:rsid w:val="00EF0B64"/>
    <w:rsid w:val="00EF0F6D"/>
    <w:rsid w:val="00EF176B"/>
    <w:rsid w:val="00EF17DC"/>
    <w:rsid w:val="00EF195A"/>
    <w:rsid w:val="00EF24ED"/>
    <w:rsid w:val="00EF2676"/>
    <w:rsid w:val="00EF31C8"/>
    <w:rsid w:val="00EF350F"/>
    <w:rsid w:val="00EF3C52"/>
    <w:rsid w:val="00EF3FE3"/>
    <w:rsid w:val="00EF4677"/>
    <w:rsid w:val="00EF4980"/>
    <w:rsid w:val="00EF5661"/>
    <w:rsid w:val="00EF569E"/>
    <w:rsid w:val="00EF6B56"/>
    <w:rsid w:val="00EF7821"/>
    <w:rsid w:val="00EF7951"/>
    <w:rsid w:val="00EF7DC0"/>
    <w:rsid w:val="00F004EF"/>
    <w:rsid w:val="00F01317"/>
    <w:rsid w:val="00F014E2"/>
    <w:rsid w:val="00F020C2"/>
    <w:rsid w:val="00F03496"/>
    <w:rsid w:val="00F03BA5"/>
    <w:rsid w:val="00F0404F"/>
    <w:rsid w:val="00F046BA"/>
    <w:rsid w:val="00F04975"/>
    <w:rsid w:val="00F05088"/>
    <w:rsid w:val="00F054A4"/>
    <w:rsid w:val="00F06787"/>
    <w:rsid w:val="00F067F1"/>
    <w:rsid w:val="00F070EC"/>
    <w:rsid w:val="00F07652"/>
    <w:rsid w:val="00F102D2"/>
    <w:rsid w:val="00F126CA"/>
    <w:rsid w:val="00F12701"/>
    <w:rsid w:val="00F1295D"/>
    <w:rsid w:val="00F132B3"/>
    <w:rsid w:val="00F13867"/>
    <w:rsid w:val="00F13C48"/>
    <w:rsid w:val="00F13E5F"/>
    <w:rsid w:val="00F1501F"/>
    <w:rsid w:val="00F15C91"/>
    <w:rsid w:val="00F171F3"/>
    <w:rsid w:val="00F17D68"/>
    <w:rsid w:val="00F2057E"/>
    <w:rsid w:val="00F20B58"/>
    <w:rsid w:val="00F20D50"/>
    <w:rsid w:val="00F20F6C"/>
    <w:rsid w:val="00F21EE4"/>
    <w:rsid w:val="00F224B7"/>
    <w:rsid w:val="00F226BE"/>
    <w:rsid w:val="00F241F4"/>
    <w:rsid w:val="00F2482E"/>
    <w:rsid w:val="00F25A7B"/>
    <w:rsid w:val="00F26568"/>
    <w:rsid w:val="00F274D3"/>
    <w:rsid w:val="00F27B6D"/>
    <w:rsid w:val="00F27CDA"/>
    <w:rsid w:val="00F30135"/>
    <w:rsid w:val="00F30642"/>
    <w:rsid w:val="00F3167F"/>
    <w:rsid w:val="00F31716"/>
    <w:rsid w:val="00F31CE3"/>
    <w:rsid w:val="00F3235D"/>
    <w:rsid w:val="00F32536"/>
    <w:rsid w:val="00F32AD7"/>
    <w:rsid w:val="00F32F6D"/>
    <w:rsid w:val="00F330FA"/>
    <w:rsid w:val="00F3478E"/>
    <w:rsid w:val="00F34872"/>
    <w:rsid w:val="00F3531C"/>
    <w:rsid w:val="00F353E6"/>
    <w:rsid w:val="00F36AE0"/>
    <w:rsid w:val="00F371E9"/>
    <w:rsid w:val="00F377B0"/>
    <w:rsid w:val="00F40B18"/>
    <w:rsid w:val="00F41387"/>
    <w:rsid w:val="00F4297F"/>
    <w:rsid w:val="00F42C22"/>
    <w:rsid w:val="00F42E39"/>
    <w:rsid w:val="00F43290"/>
    <w:rsid w:val="00F43BA6"/>
    <w:rsid w:val="00F43BAE"/>
    <w:rsid w:val="00F4421B"/>
    <w:rsid w:val="00F45CC5"/>
    <w:rsid w:val="00F46A47"/>
    <w:rsid w:val="00F470A1"/>
    <w:rsid w:val="00F47D06"/>
    <w:rsid w:val="00F47D6A"/>
    <w:rsid w:val="00F5038E"/>
    <w:rsid w:val="00F504C7"/>
    <w:rsid w:val="00F508F6"/>
    <w:rsid w:val="00F50C2B"/>
    <w:rsid w:val="00F51219"/>
    <w:rsid w:val="00F5123B"/>
    <w:rsid w:val="00F5134E"/>
    <w:rsid w:val="00F518EF"/>
    <w:rsid w:val="00F5243C"/>
    <w:rsid w:val="00F528BB"/>
    <w:rsid w:val="00F530AB"/>
    <w:rsid w:val="00F53126"/>
    <w:rsid w:val="00F532EF"/>
    <w:rsid w:val="00F5377A"/>
    <w:rsid w:val="00F56C97"/>
    <w:rsid w:val="00F57468"/>
    <w:rsid w:val="00F574F2"/>
    <w:rsid w:val="00F57EF3"/>
    <w:rsid w:val="00F60444"/>
    <w:rsid w:val="00F604DB"/>
    <w:rsid w:val="00F60A3D"/>
    <w:rsid w:val="00F61DBE"/>
    <w:rsid w:val="00F623F7"/>
    <w:rsid w:val="00F625F6"/>
    <w:rsid w:val="00F634A6"/>
    <w:rsid w:val="00F63A5A"/>
    <w:rsid w:val="00F63C7B"/>
    <w:rsid w:val="00F643BA"/>
    <w:rsid w:val="00F64D64"/>
    <w:rsid w:val="00F65B2E"/>
    <w:rsid w:val="00F671B4"/>
    <w:rsid w:val="00F67832"/>
    <w:rsid w:val="00F70090"/>
    <w:rsid w:val="00F70C54"/>
    <w:rsid w:val="00F7195B"/>
    <w:rsid w:val="00F7244B"/>
    <w:rsid w:val="00F72550"/>
    <w:rsid w:val="00F725E7"/>
    <w:rsid w:val="00F725EF"/>
    <w:rsid w:val="00F726AD"/>
    <w:rsid w:val="00F72975"/>
    <w:rsid w:val="00F7299B"/>
    <w:rsid w:val="00F72D01"/>
    <w:rsid w:val="00F7399D"/>
    <w:rsid w:val="00F73B9E"/>
    <w:rsid w:val="00F74027"/>
    <w:rsid w:val="00F742AA"/>
    <w:rsid w:val="00F74A20"/>
    <w:rsid w:val="00F74D90"/>
    <w:rsid w:val="00F74F59"/>
    <w:rsid w:val="00F75229"/>
    <w:rsid w:val="00F761C6"/>
    <w:rsid w:val="00F765D5"/>
    <w:rsid w:val="00F76E85"/>
    <w:rsid w:val="00F774BC"/>
    <w:rsid w:val="00F77821"/>
    <w:rsid w:val="00F8016F"/>
    <w:rsid w:val="00F805D4"/>
    <w:rsid w:val="00F8085F"/>
    <w:rsid w:val="00F813C1"/>
    <w:rsid w:val="00F819CE"/>
    <w:rsid w:val="00F81A3D"/>
    <w:rsid w:val="00F822F9"/>
    <w:rsid w:val="00F841B4"/>
    <w:rsid w:val="00F84354"/>
    <w:rsid w:val="00F844FA"/>
    <w:rsid w:val="00F8458F"/>
    <w:rsid w:val="00F84E53"/>
    <w:rsid w:val="00F8549B"/>
    <w:rsid w:val="00F8553F"/>
    <w:rsid w:val="00F85834"/>
    <w:rsid w:val="00F860BD"/>
    <w:rsid w:val="00F86385"/>
    <w:rsid w:val="00F863B3"/>
    <w:rsid w:val="00F869C2"/>
    <w:rsid w:val="00F86BB6"/>
    <w:rsid w:val="00F87150"/>
    <w:rsid w:val="00F87259"/>
    <w:rsid w:val="00F87587"/>
    <w:rsid w:val="00F87C7D"/>
    <w:rsid w:val="00F87D1C"/>
    <w:rsid w:val="00F90BC0"/>
    <w:rsid w:val="00F90CF2"/>
    <w:rsid w:val="00F91318"/>
    <w:rsid w:val="00F91448"/>
    <w:rsid w:val="00F914AC"/>
    <w:rsid w:val="00F91724"/>
    <w:rsid w:val="00F922A8"/>
    <w:rsid w:val="00F92530"/>
    <w:rsid w:val="00F925C4"/>
    <w:rsid w:val="00F93BA8"/>
    <w:rsid w:val="00F94B49"/>
    <w:rsid w:val="00F94FCE"/>
    <w:rsid w:val="00F95308"/>
    <w:rsid w:val="00F96116"/>
    <w:rsid w:val="00F966B1"/>
    <w:rsid w:val="00F973B8"/>
    <w:rsid w:val="00F97B9D"/>
    <w:rsid w:val="00FA0BAF"/>
    <w:rsid w:val="00FA1184"/>
    <w:rsid w:val="00FA16D4"/>
    <w:rsid w:val="00FA2BE1"/>
    <w:rsid w:val="00FA2FCF"/>
    <w:rsid w:val="00FA3816"/>
    <w:rsid w:val="00FA3849"/>
    <w:rsid w:val="00FA3BF0"/>
    <w:rsid w:val="00FA422B"/>
    <w:rsid w:val="00FA43E0"/>
    <w:rsid w:val="00FA4CD0"/>
    <w:rsid w:val="00FA501F"/>
    <w:rsid w:val="00FA505E"/>
    <w:rsid w:val="00FA64AB"/>
    <w:rsid w:val="00FA6D73"/>
    <w:rsid w:val="00FA7112"/>
    <w:rsid w:val="00FA7230"/>
    <w:rsid w:val="00FA7411"/>
    <w:rsid w:val="00FA7874"/>
    <w:rsid w:val="00FA7D4C"/>
    <w:rsid w:val="00FB0A31"/>
    <w:rsid w:val="00FB1964"/>
    <w:rsid w:val="00FB1C82"/>
    <w:rsid w:val="00FB2250"/>
    <w:rsid w:val="00FB2304"/>
    <w:rsid w:val="00FB2DC5"/>
    <w:rsid w:val="00FB31CD"/>
    <w:rsid w:val="00FB3276"/>
    <w:rsid w:val="00FB3EDD"/>
    <w:rsid w:val="00FB415B"/>
    <w:rsid w:val="00FB560B"/>
    <w:rsid w:val="00FB569B"/>
    <w:rsid w:val="00FB5D92"/>
    <w:rsid w:val="00FB627B"/>
    <w:rsid w:val="00FB64E3"/>
    <w:rsid w:val="00FB652D"/>
    <w:rsid w:val="00FB6766"/>
    <w:rsid w:val="00FB6A40"/>
    <w:rsid w:val="00FB7846"/>
    <w:rsid w:val="00FB78EC"/>
    <w:rsid w:val="00FB7BB1"/>
    <w:rsid w:val="00FC0985"/>
    <w:rsid w:val="00FC0F0A"/>
    <w:rsid w:val="00FC11F4"/>
    <w:rsid w:val="00FC1A3E"/>
    <w:rsid w:val="00FC1B12"/>
    <w:rsid w:val="00FC379F"/>
    <w:rsid w:val="00FC5041"/>
    <w:rsid w:val="00FC597F"/>
    <w:rsid w:val="00FC67D2"/>
    <w:rsid w:val="00FC77E3"/>
    <w:rsid w:val="00FC7DAE"/>
    <w:rsid w:val="00FD036F"/>
    <w:rsid w:val="00FD03BB"/>
    <w:rsid w:val="00FD1AD1"/>
    <w:rsid w:val="00FD2305"/>
    <w:rsid w:val="00FD29D2"/>
    <w:rsid w:val="00FD2CC1"/>
    <w:rsid w:val="00FD2D0D"/>
    <w:rsid w:val="00FD2D4B"/>
    <w:rsid w:val="00FD2D9D"/>
    <w:rsid w:val="00FD2F6A"/>
    <w:rsid w:val="00FD40EC"/>
    <w:rsid w:val="00FD42EE"/>
    <w:rsid w:val="00FD4457"/>
    <w:rsid w:val="00FD4EB9"/>
    <w:rsid w:val="00FD5893"/>
    <w:rsid w:val="00FD58F1"/>
    <w:rsid w:val="00FD5BD9"/>
    <w:rsid w:val="00FD5FFF"/>
    <w:rsid w:val="00FD642E"/>
    <w:rsid w:val="00FD66D8"/>
    <w:rsid w:val="00FD6774"/>
    <w:rsid w:val="00FD69CE"/>
    <w:rsid w:val="00FD6F26"/>
    <w:rsid w:val="00FD7405"/>
    <w:rsid w:val="00FD7A23"/>
    <w:rsid w:val="00FE14E7"/>
    <w:rsid w:val="00FE166F"/>
    <w:rsid w:val="00FE219B"/>
    <w:rsid w:val="00FE2873"/>
    <w:rsid w:val="00FE29B2"/>
    <w:rsid w:val="00FE36A1"/>
    <w:rsid w:val="00FE3EB9"/>
    <w:rsid w:val="00FE45EB"/>
    <w:rsid w:val="00FE51B6"/>
    <w:rsid w:val="00FE5455"/>
    <w:rsid w:val="00FE5691"/>
    <w:rsid w:val="00FE6174"/>
    <w:rsid w:val="00FE68AB"/>
    <w:rsid w:val="00FE6E41"/>
    <w:rsid w:val="00FE6F28"/>
    <w:rsid w:val="00FE7289"/>
    <w:rsid w:val="00FE780B"/>
    <w:rsid w:val="00FF04BE"/>
    <w:rsid w:val="00FF0AF6"/>
    <w:rsid w:val="00FF0E40"/>
    <w:rsid w:val="00FF1688"/>
    <w:rsid w:val="00FF1ECD"/>
    <w:rsid w:val="00FF2461"/>
    <w:rsid w:val="00FF26A9"/>
    <w:rsid w:val="00FF359C"/>
    <w:rsid w:val="00FF3BFC"/>
    <w:rsid w:val="00FF3CDE"/>
    <w:rsid w:val="00FF3EBD"/>
    <w:rsid w:val="00FF4ED7"/>
    <w:rsid w:val="00FF52CD"/>
    <w:rsid w:val="00FF58E1"/>
    <w:rsid w:val="00FF596B"/>
    <w:rsid w:val="00FF6827"/>
    <w:rsid w:val="00FF69B6"/>
    <w:rsid w:val="00FF6BA9"/>
    <w:rsid w:val="00FF6D57"/>
    <w:rsid w:val="00FF6D61"/>
    <w:rsid w:val="00FF6E52"/>
    <w:rsid w:val="00FF71DA"/>
    <w:rsid w:val="00FF7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55405E1-48F8-4C15-8CF2-ADA162A7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6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33D1"/>
    <w:pPr>
      <w:keepNext/>
      <w:numPr>
        <w:numId w:val="1"/>
      </w:numPr>
      <w:jc w:val="right"/>
      <w:outlineLvl w:val="0"/>
    </w:pPr>
    <w:rPr>
      <w:rFonts w:ascii="Arial" w:hAnsi="Arial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33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33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33D1"/>
    <w:pPr>
      <w:keepNext/>
      <w:numPr>
        <w:ilvl w:val="3"/>
        <w:numId w:val="1"/>
      </w:numPr>
      <w:spacing w:before="240" w:after="60"/>
      <w:outlineLvl w:val="3"/>
    </w:pPr>
    <w:rPr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33D1"/>
    <w:pPr>
      <w:numPr>
        <w:ilvl w:val="4"/>
        <w:numId w:val="1"/>
      </w:numPr>
      <w:spacing w:before="240" w:after="60"/>
      <w:outlineLvl w:val="4"/>
    </w:pPr>
    <w:rPr>
      <w:b/>
      <w:i/>
      <w:sz w:val="26"/>
      <w:szCs w:val="20"/>
      <w:lang w:eastAsia="bs-Latn-B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33D1"/>
    <w:pPr>
      <w:numPr>
        <w:ilvl w:val="5"/>
        <w:numId w:val="1"/>
      </w:num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933D1"/>
    <w:pPr>
      <w:numPr>
        <w:ilvl w:val="6"/>
        <w:numId w:val="1"/>
      </w:num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33D1"/>
    <w:pPr>
      <w:numPr>
        <w:ilvl w:val="7"/>
        <w:numId w:val="1"/>
      </w:num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933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0C87"/>
    <w:rPr>
      <w:rFonts w:ascii="Arial" w:hAnsi="Arial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A0C87"/>
    <w:rPr>
      <w:rFonts w:ascii="Arial" w:hAnsi="Arial"/>
      <w:b/>
      <w:i/>
      <w:sz w:val="28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0C87"/>
    <w:rPr>
      <w:rFonts w:ascii="Arial" w:hAnsi="Arial"/>
      <w:b/>
      <w:sz w:val="26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A0C87"/>
    <w:rPr>
      <w:b/>
      <w:sz w:val="28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A0C87"/>
    <w:rPr>
      <w:b/>
      <w:i/>
      <w:sz w:val="26"/>
      <w:szCs w:val="20"/>
      <w:lang w:eastAsia="bs-Latn-B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A0C87"/>
    <w:rPr>
      <w:b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A0C87"/>
    <w:rPr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A0C87"/>
    <w:rPr>
      <w:i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A0C87"/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C7072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57EE"/>
    <w:rPr>
      <w:rFonts w:ascii="Tahoma" w:hAnsi="Tahoma" w:cs="Times New Roman"/>
      <w:sz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8933D1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A0C87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933D1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A0C87"/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8933D1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A0C87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8933D1"/>
    <w:pPr>
      <w:jc w:val="right"/>
    </w:pPr>
    <w:rPr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BA0C87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8933D1"/>
    <w:rPr>
      <w:rFonts w:cs="Times New Roman"/>
    </w:rPr>
  </w:style>
  <w:style w:type="paragraph" w:styleId="NormalWeb">
    <w:name w:val="Normal (Web)"/>
    <w:basedOn w:val="Normal"/>
    <w:uiPriority w:val="99"/>
    <w:rsid w:val="008933D1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8933D1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A0C87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8933D1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886271"/>
    <w:pPr>
      <w:tabs>
        <w:tab w:val="left" w:pos="284"/>
        <w:tab w:val="right" w:leader="dot" w:pos="9356"/>
      </w:tabs>
      <w:spacing w:after="120"/>
    </w:pPr>
    <w:rPr>
      <w:rFonts w:ascii="Cambria" w:hAnsi="Cambria" w:cs="Arial"/>
      <w:b/>
      <w:noProof/>
      <w:sz w:val="22"/>
      <w:szCs w:val="22"/>
      <w:lang w:val="sr-Cyrl-CS"/>
    </w:rPr>
  </w:style>
  <w:style w:type="paragraph" w:styleId="TOC2">
    <w:name w:val="toc 2"/>
    <w:basedOn w:val="Normal"/>
    <w:next w:val="Normal"/>
    <w:autoRedefine/>
    <w:uiPriority w:val="39"/>
    <w:rsid w:val="00347DE6"/>
    <w:pPr>
      <w:tabs>
        <w:tab w:val="left" w:pos="567"/>
        <w:tab w:val="right" w:leader="dot" w:pos="9345"/>
      </w:tabs>
      <w:spacing w:after="120"/>
      <w:ind w:right="-568"/>
    </w:pPr>
    <w:rPr>
      <w:rFonts w:ascii="Calibri" w:hAnsi="Calibri" w:cs="Arial"/>
      <w:b/>
      <w:noProof/>
      <w:lang w:val="sr-Latn-BA"/>
    </w:rPr>
  </w:style>
  <w:style w:type="paragraph" w:styleId="TOC3">
    <w:name w:val="toc 3"/>
    <w:basedOn w:val="Normal"/>
    <w:next w:val="Normal"/>
    <w:autoRedefine/>
    <w:uiPriority w:val="39"/>
    <w:rsid w:val="00C21929"/>
    <w:pPr>
      <w:tabs>
        <w:tab w:val="left" w:pos="0"/>
        <w:tab w:val="left" w:pos="709"/>
        <w:tab w:val="right" w:leader="dot" w:pos="9356"/>
      </w:tabs>
      <w:spacing w:line="360" w:lineRule="auto"/>
    </w:pPr>
  </w:style>
  <w:style w:type="paragraph" w:styleId="TOC4">
    <w:name w:val="toc 4"/>
    <w:basedOn w:val="Normal"/>
    <w:next w:val="Normal"/>
    <w:autoRedefine/>
    <w:uiPriority w:val="39"/>
    <w:rsid w:val="00A52867"/>
    <w:pPr>
      <w:tabs>
        <w:tab w:val="left" w:pos="567"/>
        <w:tab w:val="right" w:leader="dot" w:pos="9356"/>
      </w:tabs>
      <w:spacing w:after="120"/>
    </w:pPr>
  </w:style>
  <w:style w:type="character" w:styleId="CommentReference">
    <w:name w:val="annotation reference"/>
    <w:basedOn w:val="DefaultParagraphFont"/>
    <w:uiPriority w:val="99"/>
    <w:semiHidden/>
    <w:rsid w:val="005B2FC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5B2F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22A2C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2FC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2A2C"/>
    <w:rPr>
      <w:rFonts w:cs="Times New Roman"/>
      <w:b/>
      <w:sz w:val="20"/>
    </w:rPr>
  </w:style>
  <w:style w:type="character" w:customStyle="1" w:styleId="FootnoteTextChar">
    <w:name w:val="Footnote Text Char"/>
    <w:uiPriority w:val="99"/>
    <w:semiHidden/>
    <w:locked/>
    <w:rsid w:val="00AF6F6F"/>
    <w:rPr>
      <w:lang w:val="en-US"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9929E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0E169B"/>
    <w:rPr>
      <w:rFonts w:cs="Times New Roman"/>
      <w:sz w:val="20"/>
      <w:lang w:val="en-US" w:eastAsia="en-US"/>
    </w:rPr>
  </w:style>
  <w:style w:type="paragraph" w:styleId="TOCHeading">
    <w:name w:val="TOC Heading"/>
    <w:basedOn w:val="Heading1"/>
    <w:next w:val="Normal"/>
    <w:uiPriority w:val="99"/>
    <w:qFormat/>
    <w:rsid w:val="00BC08D5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NoSpacing">
    <w:name w:val="No Spacing"/>
    <w:link w:val="NoSpacingChar"/>
    <w:uiPriority w:val="99"/>
    <w:qFormat/>
    <w:rsid w:val="00C9117C"/>
    <w:rPr>
      <w:rFonts w:ascii="Calibri" w:hAnsi="Calibri"/>
    </w:rPr>
  </w:style>
  <w:style w:type="character" w:customStyle="1" w:styleId="NoSpacingChar">
    <w:name w:val="No Spacing Char"/>
    <w:link w:val="NoSpacing"/>
    <w:uiPriority w:val="99"/>
    <w:locked/>
    <w:rsid w:val="00C9117C"/>
    <w:rPr>
      <w:rFonts w:ascii="Calibri" w:hAnsi="Calibri"/>
      <w:sz w:val="22"/>
      <w:lang w:val="en-US" w:eastAsia="en-US"/>
    </w:rPr>
  </w:style>
  <w:style w:type="character" w:customStyle="1" w:styleId="msoins0">
    <w:name w:val="msoins"/>
    <w:uiPriority w:val="99"/>
    <w:rsid w:val="00341156"/>
  </w:style>
  <w:style w:type="paragraph" w:styleId="TOC5">
    <w:name w:val="toc 5"/>
    <w:basedOn w:val="Normal"/>
    <w:next w:val="Normal"/>
    <w:autoRedefine/>
    <w:uiPriority w:val="39"/>
    <w:locked/>
    <w:rsid w:val="00273D0E"/>
    <w:pPr>
      <w:tabs>
        <w:tab w:val="right" w:leader="dot" w:pos="8789"/>
        <w:tab w:val="right" w:leader="dot" w:pos="9214"/>
      </w:tabs>
      <w:spacing w:after="120"/>
      <w:ind w:left="426" w:right="424" w:hanging="426"/>
      <w:jc w:val="both"/>
    </w:pPr>
  </w:style>
  <w:style w:type="character" w:styleId="FootnoteReference">
    <w:name w:val="footnote reference"/>
    <w:basedOn w:val="DefaultParagraphFont"/>
    <w:uiPriority w:val="99"/>
    <w:semiHidden/>
    <w:rsid w:val="009929E3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E82F2E"/>
    <w:pPr>
      <w:ind w:left="720"/>
      <w:contextualSpacing/>
    </w:pPr>
  </w:style>
  <w:style w:type="paragraph" w:styleId="Revision">
    <w:name w:val="Revision"/>
    <w:hidden/>
    <w:uiPriority w:val="99"/>
    <w:semiHidden/>
    <w:rsid w:val="00D67373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E6A9D"/>
    <w:rPr>
      <w:rFonts w:ascii="Cambria" w:hAnsi="Cambria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90E9C"/>
    <w:rPr>
      <w:rFonts w:ascii="Cambria" w:hAnsi="Cambria" w:cs="Times New Roman"/>
      <w:sz w:val="24"/>
      <w:lang w:val="en-US" w:eastAsia="en-US"/>
    </w:rPr>
  </w:style>
  <w:style w:type="paragraph" w:customStyle="1" w:styleId="rtejustify">
    <w:name w:val="rtejustify"/>
    <w:basedOn w:val="Normal"/>
    <w:uiPriority w:val="99"/>
    <w:rsid w:val="00190E9C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locked/>
    <w:rsid w:val="00F94B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3F860-EB03-4FA9-8FA2-847AD987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2595</Words>
  <Characters>14796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Регулаторна комисија за енергетику Републике Српске (у даљем тексту: Регулаторна комисија) дјелује на простору Републике Српске од 2004</vt:lpstr>
    </vt:vector>
  </TitlesOfParts>
  <Company>Hewlett-Packard Company</Company>
  <LinksUpToDate>false</LinksUpToDate>
  <CharactersWithSpaces>17357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Регулаторна комисија за енергетику Републике Српске (у даљем тексту: Регулаторна комисија) дјелује на простору Републике Српске од 2004</dc:title>
  <dc:creator>Jelena Prtilo</dc:creator>
  <cp:lastModifiedBy>Velinka Tomic</cp:lastModifiedBy>
  <cp:revision>3</cp:revision>
  <cp:lastPrinted>2024-12-31T08:08:00Z</cp:lastPrinted>
  <dcterms:created xsi:type="dcterms:W3CDTF">2024-12-31T07:58:00Z</dcterms:created>
  <dcterms:modified xsi:type="dcterms:W3CDTF">2024-12-31T08:09:00Z</dcterms:modified>
</cp:coreProperties>
</file>